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EFD27" w14:textId="77777777" w:rsidR="00E62839" w:rsidRDefault="00E62839" w:rsidP="00E62839">
      <w:pPr>
        <w:widowControl w:val="0"/>
        <w:autoSpaceDE w:val="0"/>
        <w:autoSpaceDN w:val="0"/>
        <w:adjustRightInd w:val="0"/>
        <w:spacing w:after="100"/>
        <w:jc w:val="center"/>
        <w:rPr>
          <w:rFonts w:ascii="Bell MT" w:hAnsi="Bell MT" w:cs="Georgia"/>
          <w:color w:val="3366FF"/>
          <w:sz w:val="28"/>
          <w:szCs w:val="28"/>
        </w:rPr>
      </w:pPr>
      <w:r w:rsidRPr="00365B31">
        <w:rPr>
          <w:rFonts w:ascii="Bell MT" w:hAnsi="Bell MT" w:cs="Georgia"/>
          <w:noProof/>
          <w:color w:val="3366FF"/>
          <w:sz w:val="28"/>
          <w:szCs w:val="28"/>
        </w:rPr>
        <w:drawing>
          <wp:anchor distT="0" distB="0" distL="114300" distR="114300" simplePos="0" relativeHeight="251659264" behindDoc="1" locked="0" layoutInCell="1" allowOverlap="1" wp14:anchorId="5FF04888" wp14:editId="201B7861">
            <wp:simplePos x="0" y="0"/>
            <wp:positionH relativeFrom="margin">
              <wp:align>center</wp:align>
            </wp:positionH>
            <wp:positionV relativeFrom="paragraph">
              <wp:posOffset>0</wp:posOffset>
            </wp:positionV>
            <wp:extent cx="2409825" cy="721995"/>
            <wp:effectExtent l="0" t="0" r="9525" b="1905"/>
            <wp:wrapTight wrapText="bothSides">
              <wp:wrapPolygon edited="0">
                <wp:start x="0" y="0"/>
                <wp:lineTo x="0" y="21087"/>
                <wp:lineTo x="21515" y="21087"/>
                <wp:lineTo x="21515" y="0"/>
                <wp:lineTo x="0" y="0"/>
              </wp:wrapPolygon>
            </wp:wrapTight>
            <wp:docPr id="4" name="Picture 4" descr="K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SU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21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D2BD53" w14:textId="77777777" w:rsidR="00E62839" w:rsidRDefault="00E62839" w:rsidP="00E62839">
      <w:pPr>
        <w:widowControl w:val="0"/>
        <w:autoSpaceDE w:val="0"/>
        <w:autoSpaceDN w:val="0"/>
        <w:adjustRightInd w:val="0"/>
        <w:spacing w:after="100"/>
        <w:rPr>
          <w:rFonts w:ascii="Bell MT" w:hAnsi="Bell MT" w:cs="Georgia"/>
          <w:color w:val="3366FF"/>
          <w:sz w:val="28"/>
          <w:szCs w:val="28"/>
        </w:rPr>
      </w:pPr>
    </w:p>
    <w:p w14:paraId="2AB5F23E" w14:textId="77777777" w:rsidR="00E62839" w:rsidRDefault="00E62839" w:rsidP="00E62839">
      <w:pPr>
        <w:widowControl w:val="0"/>
        <w:autoSpaceDE w:val="0"/>
        <w:autoSpaceDN w:val="0"/>
        <w:adjustRightInd w:val="0"/>
        <w:spacing w:after="100"/>
        <w:ind w:right="-720"/>
        <w:rPr>
          <w:rFonts w:asciiTheme="majorHAnsi" w:hAnsiTheme="majorHAnsi" w:cs="Georgia"/>
          <w:b/>
          <w:color w:val="323E4F" w:themeColor="text2" w:themeShade="BF"/>
          <w:sz w:val="36"/>
          <w:szCs w:val="36"/>
        </w:rPr>
      </w:pPr>
    </w:p>
    <w:p w14:paraId="25D7B966" w14:textId="313BC8CA" w:rsidR="00E62839" w:rsidRDefault="00E62839" w:rsidP="00E62839">
      <w:pPr>
        <w:widowControl w:val="0"/>
        <w:autoSpaceDE w:val="0"/>
        <w:autoSpaceDN w:val="0"/>
        <w:adjustRightInd w:val="0"/>
        <w:spacing w:after="100"/>
        <w:ind w:left="-270" w:right="-720" w:hanging="180"/>
        <w:jc w:val="center"/>
        <w:rPr>
          <w:rFonts w:asciiTheme="majorHAnsi" w:hAnsiTheme="majorHAnsi" w:cs="Georgia"/>
          <w:b/>
          <w:color w:val="323E4F" w:themeColor="text2" w:themeShade="BF"/>
          <w:sz w:val="36"/>
          <w:szCs w:val="36"/>
        </w:rPr>
      </w:pPr>
      <w:r>
        <w:rPr>
          <w:rFonts w:asciiTheme="majorHAnsi" w:hAnsiTheme="majorHAnsi" w:cs="Georgia"/>
          <w:b/>
          <w:color w:val="323E4F" w:themeColor="text2" w:themeShade="BF"/>
          <w:sz w:val="36"/>
          <w:szCs w:val="36"/>
        </w:rPr>
        <w:t>Site Visit Info and Support</w:t>
      </w:r>
    </w:p>
    <w:p w14:paraId="2E7C7CDD" w14:textId="77777777" w:rsidR="00E62839" w:rsidRDefault="00E62839">
      <w:pPr>
        <w:rPr>
          <w:b/>
        </w:rPr>
      </w:pPr>
    </w:p>
    <w:p w14:paraId="71DCD80B" w14:textId="5126AC94" w:rsidR="0018638D" w:rsidRPr="00646C45" w:rsidRDefault="0018638D" w:rsidP="0018638D">
      <w:pPr>
        <w:rPr>
          <w:b/>
        </w:rPr>
      </w:pPr>
      <w:r w:rsidRPr="00646C45">
        <w:rPr>
          <w:b/>
        </w:rPr>
        <w:t xml:space="preserve">Site Visit Overview </w:t>
      </w:r>
    </w:p>
    <w:p w14:paraId="1EB53686" w14:textId="650498B0" w:rsidR="00A53C2F" w:rsidRDefault="005E49C9">
      <w:r>
        <w:t xml:space="preserve">The site visit is a critical component of the academic program review process. The visit allows the external reviewers the opportunity to place the information </w:t>
      </w:r>
      <w:r w:rsidR="00A53C2F">
        <w:t xml:space="preserve">they have </w:t>
      </w:r>
      <w:r>
        <w:t xml:space="preserve">obtained </w:t>
      </w:r>
      <w:r w:rsidR="0018638D">
        <w:t>from the Self-study report in</w:t>
      </w:r>
      <w:r w:rsidR="00A53C2F">
        <w:t>to</w:t>
      </w:r>
      <w:r w:rsidR="0018638D">
        <w:t xml:space="preserve"> context and to meet with administration, faculty, and students </w:t>
      </w:r>
      <w:r w:rsidR="00A53C2F">
        <w:t xml:space="preserve">to </w:t>
      </w:r>
      <w:r w:rsidR="00A53C2F" w:rsidRPr="00C83506">
        <w:t xml:space="preserve">discuss the overall atmosphere, practices, strengths, and challenges </w:t>
      </w:r>
      <w:r w:rsidR="00A53C2F">
        <w:t xml:space="preserve">within the university and the unit in a </w:t>
      </w:r>
      <w:r w:rsidR="00A53C2F" w:rsidRPr="00C83506">
        <w:t>candid and open</w:t>
      </w:r>
      <w:r w:rsidR="00A53C2F">
        <w:t xml:space="preserve"> exchange. </w:t>
      </w:r>
      <w:r w:rsidR="0018638D">
        <w:t xml:space="preserve">The committee that visits campus usually consists of two to three external reviewers, who are experts in the discipline of the unit undergoing review and one to two internal reviewers, who are Kent State University faculty representatives.  </w:t>
      </w:r>
    </w:p>
    <w:p w14:paraId="4059174E" w14:textId="5FC4431C" w:rsidR="0075155F" w:rsidRDefault="00A53C2F">
      <w:r>
        <w:t xml:space="preserve">Site visits generally are conducted over a three-day period. Day one consists of travel to Kent, OH with an opening dinner that evening. Day two is filled with scheduled meetings and work time. Day three has meetings scheduled for the morning, with a final exit interview immediately following lunch and then </w:t>
      </w:r>
      <w:r w:rsidRPr="00C83506">
        <w:t xml:space="preserve">return travel home. </w:t>
      </w:r>
    </w:p>
    <w:p w14:paraId="34DFE82C" w14:textId="77777777" w:rsidR="00C318ED" w:rsidRDefault="00C318ED" w:rsidP="00E40FEB">
      <w:pPr>
        <w:ind w:firstLine="720"/>
      </w:pPr>
      <w:r w:rsidRPr="00646C45">
        <w:rPr>
          <w:bCs/>
          <w:i/>
          <w:iCs/>
        </w:rPr>
        <w:t>External Reviewers</w:t>
      </w:r>
      <w:r w:rsidR="00681C17">
        <w:br/>
      </w:r>
      <w:r w:rsidR="00681C17" w:rsidRPr="00E40FEB">
        <w:t xml:space="preserve">The two to three external reviewers consist of distinguished colleagues from other institutions </w:t>
      </w:r>
      <w:r w:rsidR="00681C17" w:rsidRPr="00E40FEB">
        <w:rPr>
          <w:rFonts w:cs="Helvetica Neue"/>
          <w:color w:val="1A1A1A"/>
        </w:rPr>
        <w:t>who have attained the rank of full professor and have expertise in relevant fields within the discipline at highly regarded peer and/or aspirant programs/institutions.</w:t>
      </w:r>
      <w:r w:rsidR="00E40FEB">
        <w:t xml:space="preserve"> </w:t>
      </w:r>
      <w:r w:rsidR="00681C17" w:rsidRPr="00E40FEB">
        <w:rPr>
          <w:rFonts w:cs="Helvetica Neue"/>
          <w:color w:val="1A1A1A"/>
        </w:rPr>
        <w:t>The unit under review is asked to prepare a list of ten or more potential external reviewers</w:t>
      </w:r>
      <w:r w:rsidR="00E40FEB">
        <w:rPr>
          <w:rFonts w:cs="Helvetica Neue"/>
          <w:color w:val="1A1A1A"/>
        </w:rPr>
        <w:t xml:space="preserve"> and submit it</w:t>
      </w:r>
      <w:r w:rsidR="00681C17" w:rsidRPr="00E40FEB">
        <w:rPr>
          <w:rFonts w:cs="Helvetica Neue"/>
          <w:color w:val="1A1A1A"/>
        </w:rPr>
        <w:t xml:space="preserve"> to the Office of Accreditation, Assessment and Learning</w:t>
      </w:r>
      <w:r w:rsidR="00E40FEB">
        <w:rPr>
          <w:rFonts w:cs="Helvetica Neue"/>
          <w:color w:val="1A1A1A"/>
        </w:rPr>
        <w:t xml:space="preserve"> (AAL)</w:t>
      </w:r>
      <w:r w:rsidR="00681C17" w:rsidRPr="00E40FEB">
        <w:rPr>
          <w:rFonts w:cs="Helvetica Neue"/>
          <w:color w:val="1A1A1A"/>
        </w:rPr>
        <w:t xml:space="preserve"> by </w:t>
      </w:r>
      <w:r w:rsidR="00681C17" w:rsidRPr="00E40FEB">
        <w:rPr>
          <w:rFonts w:cs="Helvetica Neue"/>
          <w:b/>
          <w:color w:val="1A1A1A"/>
        </w:rPr>
        <w:t>April 30</w:t>
      </w:r>
      <w:r w:rsidR="00681C17" w:rsidRPr="00E40FEB">
        <w:rPr>
          <w:rFonts w:cs="Helvetica Neue"/>
          <w:color w:val="1A1A1A"/>
        </w:rPr>
        <w:t>.</w:t>
      </w:r>
      <w:r w:rsidR="00E40FEB" w:rsidRPr="00E40FEB">
        <w:rPr>
          <w:rFonts w:cs="Helvetica Neue"/>
          <w:color w:val="1A1A1A"/>
        </w:rPr>
        <w:t xml:space="preserve"> The staff of AAL will supplement the list of potential external reviewers provided by the program with additional suitable candidates if needed and will vet the potential external reviewer candidates for any potential conflicts of interest that could influence their judgment.</w:t>
      </w:r>
      <w:r>
        <w:tab/>
      </w:r>
    </w:p>
    <w:p w14:paraId="0CDABBDA" w14:textId="675E678D" w:rsidR="00C318ED" w:rsidRPr="00681C17" w:rsidRDefault="00C318ED" w:rsidP="00C318ED">
      <w:pPr>
        <w:ind w:firstLine="720"/>
      </w:pPr>
      <w:r w:rsidRPr="00646C45">
        <w:rPr>
          <w:bCs/>
          <w:i/>
          <w:iCs/>
        </w:rPr>
        <w:t>Internal Reviewer</w:t>
      </w:r>
      <w:r w:rsidR="00681C17">
        <w:br/>
      </w:r>
      <w:r w:rsidR="00A54CE0">
        <w:rPr>
          <w:rFonts w:cs="Helvetica Neue"/>
          <w:color w:val="1A1A1A"/>
        </w:rPr>
        <w:t>T</w:t>
      </w:r>
      <w:r w:rsidR="00A54CE0" w:rsidRPr="00681C17">
        <w:rPr>
          <w:rFonts w:cs="Helvetica Neue"/>
          <w:color w:val="1A1A1A"/>
        </w:rPr>
        <w:t>he</w:t>
      </w:r>
      <w:r w:rsidR="00681C17" w:rsidRPr="00681C17">
        <w:rPr>
          <w:rFonts w:cs="Helvetica Neue"/>
          <w:color w:val="1A1A1A"/>
        </w:rPr>
        <w:t xml:space="preserve"> internal reviewer(s) of the review committee will be a full professor not affiliated with the program under review. The internal reviewer(s) is included to provide institutional and college context, and thus should be a faculty member from within the same college as the program under </w:t>
      </w:r>
      <w:r w:rsidR="00ED76AA" w:rsidRPr="00681C17">
        <w:rPr>
          <w:rFonts w:cs="Helvetica Neue"/>
          <w:color w:val="1A1A1A"/>
        </w:rPr>
        <w:t>review but</w:t>
      </w:r>
      <w:r w:rsidR="00681C17" w:rsidRPr="00681C17">
        <w:rPr>
          <w:rFonts w:cs="Helvetica Neue"/>
          <w:color w:val="1A1A1A"/>
        </w:rPr>
        <w:t xml:space="preserve"> should not be from the same department/school as that of the program under review. The exception to this is when all programs across an entire college are reviewed collectively (such as the College of Nursing or the College of Public Health). In that case, the internal reviewer must be selected from a different college. The dean of the college housing the unit under review is asked to recommend potential internal reviewer(s).</w:t>
      </w:r>
    </w:p>
    <w:p w14:paraId="3E6541D5" w14:textId="735EBFF6" w:rsidR="00BE3414" w:rsidRPr="00646C45" w:rsidRDefault="00BE3414" w:rsidP="00BE3414">
      <w:pPr>
        <w:rPr>
          <w:b/>
        </w:rPr>
      </w:pPr>
      <w:r w:rsidRPr="00646C45">
        <w:rPr>
          <w:b/>
        </w:rPr>
        <w:t xml:space="preserve">Scheduling </w:t>
      </w:r>
    </w:p>
    <w:p w14:paraId="4D9B6597" w14:textId="77F6FD0D" w:rsidR="008A4E34" w:rsidRDefault="008A4E34" w:rsidP="008A4E34">
      <w:r>
        <w:t xml:space="preserve">In close collaboration with the unit being reviewed, </w:t>
      </w:r>
      <w:r w:rsidR="00A54CE0">
        <w:t xml:space="preserve">AAL </w:t>
      </w:r>
      <w:r w:rsidR="00F05B7F">
        <w:t xml:space="preserve">will determine the dates </w:t>
      </w:r>
      <w:r>
        <w:t>of</w:t>
      </w:r>
      <w:r w:rsidR="00F05B7F">
        <w:t xml:space="preserve"> the site visit </w:t>
      </w:r>
      <w:r>
        <w:t xml:space="preserve">and will assist with scheduling meetings that include the </w:t>
      </w:r>
      <w:r w:rsidR="00DE0EDB">
        <w:t>C</w:t>
      </w:r>
      <w:r>
        <w:t>ollege Dean and the Provost Office</w:t>
      </w:r>
      <w:r w:rsidR="00F05B7F">
        <w:t>.</w:t>
      </w:r>
      <w:r w:rsidR="00DE0EDB">
        <w:t xml:space="preserve"> These meetings </w:t>
      </w:r>
      <w:r w:rsidR="00DE0EDB">
        <w:lastRenderedPageBreak/>
        <w:t>will be identified in the Sample Itinerary.</w:t>
      </w:r>
      <w:r w:rsidR="00F05B7F">
        <w:t xml:space="preserve"> </w:t>
      </w:r>
      <w:r w:rsidR="000E498A">
        <w:t xml:space="preserve">The unit under review is responsible </w:t>
      </w:r>
      <w:r w:rsidR="00A54CE0">
        <w:t>for</w:t>
      </w:r>
      <w:r>
        <w:t xml:space="preserve"> d</w:t>
      </w:r>
      <w:r w:rsidR="00A54CE0">
        <w:t>etermining</w:t>
      </w:r>
      <w:r>
        <w:t xml:space="preserve"> the duration, time, and meeting places of all other required meetings. </w:t>
      </w:r>
    </w:p>
    <w:p w14:paraId="5D952A32" w14:textId="74A79CA3" w:rsidR="0075155F" w:rsidRPr="00646C45" w:rsidRDefault="0075155F">
      <w:pPr>
        <w:rPr>
          <w:b/>
        </w:rPr>
      </w:pPr>
      <w:r w:rsidRPr="00646C45">
        <w:rPr>
          <w:b/>
        </w:rPr>
        <w:t>Site Visit Requirements</w:t>
      </w:r>
    </w:p>
    <w:p w14:paraId="3E809FEC" w14:textId="77777777" w:rsidR="00BE3414" w:rsidRDefault="00ED3C37">
      <w:r>
        <w:rPr>
          <w:rFonts w:cs="Helvetica Neue"/>
          <w:color w:val="1A1A1A"/>
        </w:rPr>
        <w:t xml:space="preserve">While </w:t>
      </w:r>
      <w:r w:rsidR="000E498A">
        <w:rPr>
          <w:rFonts w:cs="Helvetica Neue"/>
          <w:color w:val="1A1A1A"/>
        </w:rPr>
        <w:t>AAL staff will coordinate travel and lodging arrangements for the external committee</w:t>
      </w:r>
      <w:r>
        <w:rPr>
          <w:rFonts w:cs="Helvetica Neue"/>
          <w:color w:val="1A1A1A"/>
        </w:rPr>
        <w:t>, t</w:t>
      </w:r>
      <w:r w:rsidR="00F05B7F" w:rsidRPr="00ED3C37">
        <w:t>he unit is</w:t>
      </w:r>
      <w:r w:rsidR="00F05B7F">
        <w:t xml:space="preserve"> responsible to build an itinerary </w:t>
      </w:r>
      <w:r w:rsidR="008A4E34">
        <w:t>incorporating</w:t>
      </w:r>
      <w:r w:rsidR="00F05B7F">
        <w:t xml:space="preserve"> the </w:t>
      </w:r>
      <w:r w:rsidR="009C0132">
        <w:t xml:space="preserve">following </w:t>
      </w:r>
      <w:r w:rsidR="008A4E34">
        <w:t xml:space="preserve">meeting </w:t>
      </w:r>
      <w:r w:rsidR="009C0132">
        <w:t>requirements. These meetings can take the form of one-on-one or small group meetings as deemed appropriate</w:t>
      </w:r>
      <w:r w:rsidR="004201B8">
        <w:t xml:space="preserve"> (if small group meetings are held, please do not schedule over meals or in noisy environments)</w:t>
      </w:r>
      <w:r w:rsidR="009C0132">
        <w:t xml:space="preserve">.  </w:t>
      </w:r>
    </w:p>
    <w:p w14:paraId="6783FFD1" w14:textId="77777777" w:rsidR="00F05B7F" w:rsidRDefault="00F05B7F" w:rsidP="00F05B7F">
      <w:pPr>
        <w:pStyle w:val="ListParagraph"/>
        <w:numPr>
          <w:ilvl w:val="0"/>
          <w:numId w:val="2"/>
        </w:numPr>
      </w:pPr>
      <w:r>
        <w:t xml:space="preserve">A meeting </w:t>
      </w:r>
      <w:r w:rsidR="006360F1">
        <w:t>between the</w:t>
      </w:r>
      <w:r>
        <w:t xml:space="preserve"> reviewers </w:t>
      </w:r>
      <w:r w:rsidR="006360F1">
        <w:t xml:space="preserve">and </w:t>
      </w:r>
      <w:r w:rsidR="009C0132">
        <w:t xml:space="preserve">both undergraduate and graduate students without faculty present. </w:t>
      </w:r>
    </w:p>
    <w:p w14:paraId="4DF9E205" w14:textId="77777777" w:rsidR="009C0132" w:rsidRDefault="009C0132" w:rsidP="00F05B7F">
      <w:pPr>
        <w:pStyle w:val="ListParagraph"/>
        <w:numPr>
          <w:ilvl w:val="0"/>
          <w:numId w:val="2"/>
        </w:numPr>
      </w:pPr>
      <w:r>
        <w:t>A meeting between reviewers and non-tenure track faculty without tenure track faculty present.</w:t>
      </w:r>
    </w:p>
    <w:p w14:paraId="0660C5A4" w14:textId="69186DD0" w:rsidR="009C0132" w:rsidRDefault="009C0132" w:rsidP="00F05B7F">
      <w:pPr>
        <w:pStyle w:val="ListParagraph"/>
        <w:numPr>
          <w:ilvl w:val="0"/>
          <w:numId w:val="2"/>
        </w:numPr>
      </w:pPr>
      <w:r>
        <w:t xml:space="preserve">Opportunities to meet with the graduate coordinator and undergraduate coordinator. </w:t>
      </w:r>
    </w:p>
    <w:p w14:paraId="498AE6AA" w14:textId="77777777" w:rsidR="009C0132" w:rsidRDefault="009C0132" w:rsidP="009C0132">
      <w:pPr>
        <w:pStyle w:val="ListParagraph"/>
        <w:numPr>
          <w:ilvl w:val="0"/>
          <w:numId w:val="2"/>
        </w:numPr>
      </w:pPr>
      <w:r>
        <w:t xml:space="preserve">A meeting between reviewers and the unit’s administrative </w:t>
      </w:r>
      <w:r w:rsidR="00385C8D">
        <w:t>or</w:t>
      </w:r>
      <w:r>
        <w:t xml:space="preserve"> program support staff.</w:t>
      </w:r>
    </w:p>
    <w:p w14:paraId="70BFE989" w14:textId="77777777" w:rsidR="009C0132" w:rsidRDefault="009C0132" w:rsidP="00F05B7F">
      <w:pPr>
        <w:pStyle w:val="ListParagraph"/>
        <w:numPr>
          <w:ilvl w:val="0"/>
          <w:numId w:val="2"/>
        </w:numPr>
      </w:pPr>
      <w:r>
        <w:t xml:space="preserve"> A tour of the facilities.</w:t>
      </w:r>
    </w:p>
    <w:p w14:paraId="0D6F2E8C" w14:textId="77777777" w:rsidR="009C0132" w:rsidRDefault="009C0132" w:rsidP="00F05B7F">
      <w:pPr>
        <w:pStyle w:val="ListParagraph"/>
        <w:numPr>
          <w:ilvl w:val="0"/>
          <w:numId w:val="2"/>
        </w:numPr>
      </w:pPr>
      <w:r>
        <w:t xml:space="preserve">Time during the visit for the reviewers to work on the report or to devise a strategy to complete the report. </w:t>
      </w:r>
    </w:p>
    <w:p w14:paraId="7D597B69" w14:textId="71EFD669" w:rsidR="009C0132" w:rsidRDefault="009C0132" w:rsidP="00F05B7F">
      <w:pPr>
        <w:pStyle w:val="ListParagraph"/>
        <w:numPr>
          <w:ilvl w:val="0"/>
          <w:numId w:val="2"/>
        </w:numPr>
      </w:pPr>
      <w:r>
        <w:t xml:space="preserve">Opportunities to meet with the </w:t>
      </w:r>
      <w:r w:rsidR="00DE0EDB">
        <w:t>C</w:t>
      </w:r>
      <w:r>
        <w:t xml:space="preserve">ollege Dean and the Provost or a representative. (AAL will assist). </w:t>
      </w:r>
    </w:p>
    <w:p w14:paraId="6CE06114" w14:textId="77777777" w:rsidR="009C0132" w:rsidRDefault="00A54CE0" w:rsidP="00A33858">
      <w:r>
        <w:t>To use as a guide/</w:t>
      </w:r>
      <w:r w:rsidR="009C0132">
        <w:t>example, see the sample itinerary be</w:t>
      </w:r>
      <w:r w:rsidR="00A33858">
        <w:t>low.</w:t>
      </w:r>
      <w:r w:rsidR="009C0132">
        <w:t xml:space="preserve"> </w:t>
      </w:r>
      <w:r w:rsidR="00A33858">
        <w:t xml:space="preserve">While the itinerary must contain the requirements listed above, the unit has an opportunity to display their program(s) as they see fit. If there are any requests for exceptions to the above </w:t>
      </w:r>
      <w:r w:rsidR="00114DC0">
        <w:t>list,</w:t>
      </w:r>
      <w:r w:rsidR="00A33858">
        <w:t xml:space="preserve"> please contact AAL.</w:t>
      </w:r>
    </w:p>
    <w:p w14:paraId="76F938DE" w14:textId="77777777" w:rsidR="005E49C9" w:rsidRPr="00114DC0" w:rsidRDefault="005E49C9" w:rsidP="00114DC0">
      <w:pPr>
        <w:pStyle w:val="ListParagraph"/>
        <w:numPr>
          <w:ilvl w:val="0"/>
          <w:numId w:val="1"/>
        </w:numPr>
        <w:rPr>
          <w:color w:val="2E74B5" w:themeColor="accent1" w:themeShade="BF"/>
        </w:rPr>
      </w:pPr>
      <w:r>
        <w:rPr>
          <w:color w:val="2E74B5" w:themeColor="accent1" w:themeShade="BF"/>
        </w:rPr>
        <w:t>SAMPLE – Site Visit Itinerary</w:t>
      </w:r>
    </w:p>
    <w:p w14:paraId="272B69F9" w14:textId="6D7C3576" w:rsidR="005E49C9" w:rsidRPr="00646C45" w:rsidRDefault="003B2CC3" w:rsidP="005E49C9">
      <w:pPr>
        <w:rPr>
          <w:b/>
        </w:rPr>
      </w:pPr>
      <w:r w:rsidRPr="00646C45">
        <w:rPr>
          <w:b/>
        </w:rPr>
        <w:t xml:space="preserve">Review Committee </w:t>
      </w:r>
      <w:r w:rsidR="005E49C9" w:rsidRPr="00646C45">
        <w:rPr>
          <w:b/>
        </w:rPr>
        <w:t>Reporting</w:t>
      </w:r>
    </w:p>
    <w:p w14:paraId="12D1AC2A" w14:textId="76D708B1" w:rsidR="00335B1F" w:rsidRPr="003B2CC3" w:rsidRDefault="00335B1F" w:rsidP="005E49C9">
      <w:r w:rsidRPr="003B2CC3">
        <w:t xml:space="preserve">From these meetings </w:t>
      </w:r>
      <w:r w:rsidR="00DE0EDB">
        <w:t xml:space="preserve">and the Self-study report, </w:t>
      </w:r>
      <w:r w:rsidRPr="003B2CC3">
        <w:t>th</w:t>
      </w:r>
      <w:r w:rsidR="00F67176" w:rsidRPr="003B2CC3">
        <w:t>e review committee will generate a written report</w:t>
      </w:r>
      <w:r w:rsidR="00C83506" w:rsidRPr="003B2CC3">
        <w:t xml:space="preserve"> </w:t>
      </w:r>
      <w:r w:rsidRPr="003B2CC3">
        <w:t xml:space="preserve">to be submitted </w:t>
      </w:r>
      <w:r w:rsidR="00C83506" w:rsidRPr="003B2CC3">
        <w:t xml:space="preserve">within four weeks of the site visit. </w:t>
      </w:r>
      <w:r w:rsidR="00C83506" w:rsidRPr="003B2CC3">
        <w:rPr>
          <w:rFonts w:cs="Times New Roman"/>
          <w:color w:val="1A1A1A"/>
        </w:rPr>
        <w:t xml:space="preserve">The external reviewers are responsible for writing </w:t>
      </w:r>
      <w:r w:rsidR="003B2CC3" w:rsidRPr="003B2CC3">
        <w:rPr>
          <w:rFonts w:cs="Times New Roman"/>
          <w:color w:val="1A1A1A"/>
        </w:rPr>
        <w:t>the</w:t>
      </w:r>
      <w:r w:rsidR="00C83506" w:rsidRPr="003B2CC3">
        <w:rPr>
          <w:rFonts w:cs="Times New Roman"/>
          <w:color w:val="1A1A1A"/>
        </w:rPr>
        <w:t xml:space="preserve"> final report, although the internal reviewer may be asked to provide information and/or clarification.</w:t>
      </w:r>
      <w:r w:rsidR="00C83506" w:rsidRPr="003B2CC3">
        <w:t xml:space="preserve"> </w:t>
      </w:r>
      <w:r w:rsidR="00F67176" w:rsidRPr="003B2CC3">
        <w:t xml:space="preserve"> </w:t>
      </w:r>
    </w:p>
    <w:p w14:paraId="10C682D4" w14:textId="05CF62A8" w:rsidR="005E49C9" w:rsidRDefault="00C83506" w:rsidP="005E49C9">
      <w:pPr>
        <w:rPr>
          <w:rFonts w:cs="Times New Roman"/>
        </w:rPr>
      </w:pPr>
      <w:r w:rsidRPr="003B2CC3">
        <w:rPr>
          <w:rFonts w:cs="Times New Roman"/>
          <w:color w:val="1A1A1A"/>
        </w:rPr>
        <w:t>The report should</w:t>
      </w:r>
      <w:r w:rsidR="000F0290" w:rsidRPr="003B2CC3">
        <w:rPr>
          <w:rFonts w:cs="Times New Roman"/>
          <w:color w:val="1A1A1A"/>
        </w:rPr>
        <w:t xml:space="preserve"> include a</w:t>
      </w:r>
      <w:r w:rsidR="003B2CC3" w:rsidRPr="003B2CC3">
        <w:rPr>
          <w:rFonts w:cs="Times New Roman"/>
          <w:color w:val="1A1A1A"/>
        </w:rPr>
        <w:t xml:space="preserve"> separate one to two page</w:t>
      </w:r>
      <w:r w:rsidR="000F0290" w:rsidRPr="003B2CC3">
        <w:rPr>
          <w:rFonts w:cs="Times New Roman"/>
          <w:color w:val="1A1A1A"/>
        </w:rPr>
        <w:t xml:space="preserve"> Executive Summary that briefly outlines the committee findings</w:t>
      </w:r>
      <w:r w:rsidRPr="003B2CC3">
        <w:rPr>
          <w:rFonts w:cs="Times New Roman"/>
          <w:color w:val="1A1A1A"/>
        </w:rPr>
        <w:t xml:space="preserve"> </w:t>
      </w:r>
      <w:r w:rsidR="000F0290" w:rsidRPr="003B2CC3">
        <w:rPr>
          <w:rFonts w:cs="Times New Roman"/>
          <w:color w:val="1A1A1A"/>
        </w:rPr>
        <w:t>(</w:t>
      </w:r>
      <w:r w:rsidRPr="003B2CC3">
        <w:rPr>
          <w:rFonts w:cs="Times New Roman"/>
          <w:color w:val="1A1A1A"/>
        </w:rPr>
        <w:t>prog</w:t>
      </w:r>
      <w:r w:rsidR="000F0290" w:rsidRPr="003B2CC3">
        <w:rPr>
          <w:rFonts w:cs="Times New Roman"/>
          <w:color w:val="1A1A1A"/>
        </w:rPr>
        <w:t>ram strengths, challenges/</w:t>
      </w:r>
      <w:r w:rsidRPr="003B2CC3">
        <w:rPr>
          <w:rFonts w:cs="Times New Roman"/>
          <w:color w:val="1A1A1A"/>
        </w:rPr>
        <w:t>opportunities a</w:t>
      </w:r>
      <w:r w:rsidR="000F0290" w:rsidRPr="003B2CC3">
        <w:rPr>
          <w:rFonts w:cs="Times New Roman"/>
          <w:color w:val="1A1A1A"/>
        </w:rPr>
        <w:t xml:space="preserve">nd recommendations) and </w:t>
      </w:r>
      <w:r w:rsidR="003B2CC3" w:rsidRPr="003B2CC3">
        <w:rPr>
          <w:rFonts w:cs="Times New Roman"/>
          <w:color w:val="1A1A1A"/>
        </w:rPr>
        <w:t xml:space="preserve">then </w:t>
      </w:r>
      <w:r w:rsidR="000F0290" w:rsidRPr="003B2CC3">
        <w:rPr>
          <w:rFonts w:cs="Times New Roman"/>
          <w:color w:val="1A1A1A"/>
        </w:rPr>
        <w:t>a more in</w:t>
      </w:r>
      <w:r w:rsidR="003B2CC3" w:rsidRPr="003B2CC3">
        <w:rPr>
          <w:rFonts w:cs="Times New Roman"/>
          <w:color w:val="1A1A1A"/>
        </w:rPr>
        <w:t>-</w:t>
      </w:r>
      <w:r w:rsidR="000F0290" w:rsidRPr="003B2CC3">
        <w:rPr>
          <w:rFonts w:cs="Times New Roman"/>
          <w:color w:val="1A1A1A"/>
        </w:rPr>
        <w:t xml:space="preserve">depth </w:t>
      </w:r>
      <w:r w:rsidR="00A54CE0" w:rsidRPr="003B2CC3">
        <w:rPr>
          <w:rFonts w:cs="Times New Roman"/>
          <w:color w:val="1A1A1A"/>
        </w:rPr>
        <w:t>narrative</w:t>
      </w:r>
      <w:r w:rsidR="003B2CC3" w:rsidRPr="003B2CC3">
        <w:rPr>
          <w:rFonts w:cs="Times New Roman"/>
          <w:color w:val="1A1A1A"/>
        </w:rPr>
        <w:t xml:space="preserve"> report</w:t>
      </w:r>
      <w:r w:rsidR="000F0290" w:rsidRPr="003B2CC3">
        <w:rPr>
          <w:rFonts w:cs="Times New Roman"/>
          <w:color w:val="1A1A1A"/>
        </w:rPr>
        <w:t xml:space="preserve"> of the program (eight to ten pages)</w:t>
      </w:r>
      <w:r w:rsidRPr="003B2CC3">
        <w:rPr>
          <w:rFonts w:cs="Times New Roman"/>
          <w:color w:val="1A1A1A"/>
        </w:rPr>
        <w:t xml:space="preserve">. </w:t>
      </w:r>
      <w:bookmarkStart w:id="0" w:name="_GoBack"/>
      <w:bookmarkEnd w:id="0"/>
      <w:r w:rsidR="00A54CE0" w:rsidRPr="003B2CC3">
        <w:rPr>
          <w:rFonts w:cs="Times New Roman"/>
        </w:rPr>
        <w:t>The narrative</w:t>
      </w:r>
      <w:r w:rsidRPr="003B2CC3">
        <w:rPr>
          <w:rFonts w:cs="Times New Roman"/>
        </w:rPr>
        <w:t xml:space="preserve"> should be evaluative rather than descriptive, and should be forward-looking, not simply a </w:t>
      </w:r>
      <w:r w:rsidR="00DE0EDB">
        <w:rPr>
          <w:rFonts w:cs="Times New Roman"/>
        </w:rPr>
        <w:t>retelling</w:t>
      </w:r>
      <w:r w:rsidRPr="003B2CC3">
        <w:rPr>
          <w:rFonts w:cs="Times New Roman"/>
        </w:rPr>
        <w:t xml:space="preserve"> of the program’s current status.</w:t>
      </w:r>
      <w:r w:rsidR="000F0290" w:rsidRPr="003B2CC3">
        <w:rPr>
          <w:rFonts w:cs="Times New Roman"/>
        </w:rPr>
        <w:t xml:space="preserve"> </w:t>
      </w:r>
    </w:p>
    <w:p w14:paraId="4D52AFF7" w14:textId="625EA73B" w:rsidR="00A53C2F" w:rsidRPr="00A53C2F" w:rsidRDefault="00A53C2F" w:rsidP="00A53C2F">
      <w:pPr>
        <w:widowControl w:val="0"/>
        <w:autoSpaceDE w:val="0"/>
        <w:autoSpaceDN w:val="0"/>
        <w:adjustRightInd w:val="0"/>
        <w:rPr>
          <w:rFonts w:cstheme="minorHAnsi"/>
          <w:color w:val="1A1A1A"/>
        </w:rPr>
      </w:pPr>
      <w:r w:rsidRPr="00E62839">
        <w:rPr>
          <w:rFonts w:cstheme="minorHAnsi"/>
          <w:color w:val="2E74B5" w:themeColor="accent1" w:themeShade="BF"/>
        </w:rPr>
        <w:t>The Review Committee Report Guide </w:t>
      </w:r>
      <w:r w:rsidRPr="00646C45">
        <w:rPr>
          <w:rFonts w:cstheme="minorHAnsi"/>
        </w:rPr>
        <w:t>mi</w:t>
      </w:r>
      <w:r w:rsidRPr="00A53C2F">
        <w:rPr>
          <w:rFonts w:cstheme="minorHAnsi"/>
          <w:color w:val="1A1A1A"/>
        </w:rPr>
        <w:t xml:space="preserve">rrors the format of the program's </w:t>
      </w:r>
      <w:r>
        <w:rPr>
          <w:rFonts w:cstheme="minorHAnsi"/>
          <w:color w:val="1A1A1A"/>
        </w:rPr>
        <w:t>S</w:t>
      </w:r>
      <w:r w:rsidRPr="00A53C2F">
        <w:rPr>
          <w:rFonts w:cstheme="minorHAnsi"/>
          <w:color w:val="1A1A1A"/>
        </w:rPr>
        <w:t xml:space="preserve">elf-study and </w:t>
      </w:r>
      <w:r w:rsidR="003B2CC3" w:rsidRPr="00DE0EDB">
        <w:rPr>
          <w:rFonts w:cstheme="minorHAnsi"/>
          <w:color w:val="1A1A1A"/>
          <w:u w:val="single"/>
        </w:rPr>
        <w:t>can</w:t>
      </w:r>
      <w:r w:rsidRPr="00DE0EDB">
        <w:rPr>
          <w:rFonts w:cstheme="minorHAnsi"/>
          <w:color w:val="1A1A1A"/>
          <w:u w:val="single"/>
        </w:rPr>
        <w:t xml:space="preserve"> be</w:t>
      </w:r>
      <w:r w:rsidRPr="00A53C2F">
        <w:rPr>
          <w:rFonts w:cstheme="minorHAnsi"/>
          <w:color w:val="1A1A1A"/>
        </w:rPr>
        <w:t xml:space="preserve"> used </w:t>
      </w:r>
      <w:r w:rsidR="003B2CC3">
        <w:rPr>
          <w:rFonts w:cstheme="minorHAnsi"/>
          <w:color w:val="1A1A1A"/>
        </w:rPr>
        <w:t xml:space="preserve">as a guide </w:t>
      </w:r>
      <w:r w:rsidRPr="00A53C2F">
        <w:rPr>
          <w:rFonts w:cstheme="minorHAnsi"/>
          <w:color w:val="1A1A1A"/>
        </w:rPr>
        <w:t>in preparing developing the final report.</w:t>
      </w:r>
    </w:p>
    <w:p w14:paraId="78356E8B" w14:textId="77777777" w:rsidR="00A53C2F" w:rsidRPr="00A53C2F" w:rsidRDefault="00A53C2F" w:rsidP="00A53C2F">
      <w:pPr>
        <w:rPr>
          <w:rFonts w:eastAsia="Times New Roman" w:cstheme="minorHAnsi"/>
          <w:i/>
        </w:rPr>
      </w:pPr>
      <w:r w:rsidRPr="00A53C2F">
        <w:rPr>
          <w:rFonts w:eastAsia="Times New Roman" w:cstheme="minorHAnsi"/>
          <w:i/>
        </w:rPr>
        <w:t>The sections that should be covered in the reviewer’s report include:</w:t>
      </w:r>
    </w:p>
    <w:p w14:paraId="34DEC634" w14:textId="77777777" w:rsidR="00A53C2F" w:rsidRPr="00A53C2F" w:rsidRDefault="00A53C2F" w:rsidP="00A53C2F">
      <w:pPr>
        <w:pStyle w:val="ListParagraph"/>
        <w:numPr>
          <w:ilvl w:val="0"/>
          <w:numId w:val="3"/>
        </w:numPr>
        <w:spacing w:after="0" w:line="240" w:lineRule="auto"/>
        <w:rPr>
          <w:rFonts w:eastAsia="Times New Roman" w:cstheme="minorHAnsi"/>
        </w:rPr>
      </w:pPr>
      <w:r w:rsidRPr="00A53C2F">
        <w:rPr>
          <w:rFonts w:eastAsia="Times New Roman" w:cstheme="minorHAnsi"/>
        </w:rPr>
        <w:t>Context</w:t>
      </w:r>
    </w:p>
    <w:p w14:paraId="61668E88" w14:textId="77777777" w:rsidR="00A53C2F" w:rsidRPr="00A53C2F" w:rsidRDefault="00A53C2F" w:rsidP="00A53C2F">
      <w:pPr>
        <w:pStyle w:val="ListParagraph"/>
        <w:numPr>
          <w:ilvl w:val="0"/>
          <w:numId w:val="3"/>
        </w:numPr>
        <w:spacing w:after="0" w:line="240" w:lineRule="auto"/>
        <w:rPr>
          <w:rFonts w:eastAsia="Times New Roman" w:cstheme="minorHAnsi"/>
        </w:rPr>
      </w:pPr>
      <w:r w:rsidRPr="00A53C2F">
        <w:rPr>
          <w:rFonts w:eastAsia="Times New Roman" w:cstheme="minorHAnsi"/>
        </w:rPr>
        <w:t>Curriculum, Assessment of Student Learning and Program Improvement</w:t>
      </w:r>
    </w:p>
    <w:p w14:paraId="3676E8D9" w14:textId="77777777" w:rsidR="00A53C2F" w:rsidRPr="00A53C2F" w:rsidRDefault="00A53C2F" w:rsidP="00A53C2F">
      <w:pPr>
        <w:pStyle w:val="ListParagraph"/>
        <w:numPr>
          <w:ilvl w:val="0"/>
          <w:numId w:val="3"/>
        </w:numPr>
        <w:spacing w:after="0" w:line="240" w:lineRule="auto"/>
        <w:rPr>
          <w:rFonts w:eastAsia="Times New Roman" w:cstheme="minorHAnsi"/>
        </w:rPr>
      </w:pPr>
      <w:r w:rsidRPr="00A53C2F">
        <w:rPr>
          <w:rFonts w:eastAsia="Times New Roman" w:cstheme="minorHAnsi"/>
        </w:rPr>
        <w:t>Current Students</w:t>
      </w:r>
    </w:p>
    <w:p w14:paraId="0ACFA6D3" w14:textId="77777777" w:rsidR="00A53C2F" w:rsidRPr="00A53C2F" w:rsidRDefault="00A53C2F" w:rsidP="00A53C2F">
      <w:pPr>
        <w:pStyle w:val="ListParagraph"/>
        <w:numPr>
          <w:ilvl w:val="0"/>
          <w:numId w:val="3"/>
        </w:numPr>
        <w:spacing w:after="0" w:line="240" w:lineRule="auto"/>
        <w:rPr>
          <w:rFonts w:eastAsia="Times New Roman" w:cstheme="minorHAnsi"/>
        </w:rPr>
      </w:pPr>
      <w:r w:rsidRPr="00A53C2F">
        <w:rPr>
          <w:rFonts w:eastAsia="Times New Roman" w:cstheme="minorHAnsi"/>
        </w:rPr>
        <w:t>Academic Support and Career Development Opportunities</w:t>
      </w:r>
    </w:p>
    <w:p w14:paraId="5B3FA5E5" w14:textId="77777777" w:rsidR="00A53C2F" w:rsidRPr="00A53C2F" w:rsidRDefault="00A53C2F" w:rsidP="00A53C2F">
      <w:pPr>
        <w:pStyle w:val="ListParagraph"/>
        <w:numPr>
          <w:ilvl w:val="0"/>
          <w:numId w:val="3"/>
        </w:numPr>
        <w:spacing w:after="0" w:line="240" w:lineRule="auto"/>
        <w:rPr>
          <w:rFonts w:eastAsia="Times New Roman" w:cstheme="minorHAnsi"/>
        </w:rPr>
      </w:pPr>
      <w:r w:rsidRPr="00A53C2F">
        <w:rPr>
          <w:rFonts w:eastAsia="Times New Roman" w:cstheme="minorHAnsi"/>
        </w:rPr>
        <w:t>Alumni</w:t>
      </w:r>
    </w:p>
    <w:p w14:paraId="71F9ADB0" w14:textId="77777777" w:rsidR="00A53C2F" w:rsidRDefault="00A53C2F" w:rsidP="00A53C2F">
      <w:pPr>
        <w:pStyle w:val="ListParagraph"/>
        <w:numPr>
          <w:ilvl w:val="0"/>
          <w:numId w:val="3"/>
        </w:numPr>
        <w:spacing w:after="0" w:line="240" w:lineRule="auto"/>
        <w:rPr>
          <w:rFonts w:eastAsia="Times New Roman" w:cstheme="minorHAnsi"/>
        </w:rPr>
      </w:pPr>
      <w:r w:rsidRPr="00A53C2F">
        <w:rPr>
          <w:rFonts w:eastAsia="Times New Roman" w:cstheme="minorHAnsi"/>
        </w:rPr>
        <w:lastRenderedPageBreak/>
        <w:t>Faculty, Administration and Staff</w:t>
      </w:r>
    </w:p>
    <w:p w14:paraId="661484FD" w14:textId="12892A02" w:rsidR="00A53C2F" w:rsidRDefault="00A53C2F" w:rsidP="00A53C2F">
      <w:pPr>
        <w:pStyle w:val="ListParagraph"/>
        <w:numPr>
          <w:ilvl w:val="0"/>
          <w:numId w:val="3"/>
        </w:numPr>
        <w:spacing w:after="0" w:line="240" w:lineRule="auto"/>
        <w:rPr>
          <w:rFonts w:eastAsia="Times New Roman" w:cstheme="minorHAnsi"/>
        </w:rPr>
      </w:pPr>
      <w:r w:rsidRPr="00A53C2F">
        <w:rPr>
          <w:rFonts w:eastAsia="Times New Roman" w:cstheme="minorHAnsi"/>
        </w:rPr>
        <w:t>Facilities and Resources</w:t>
      </w:r>
    </w:p>
    <w:p w14:paraId="33F46364" w14:textId="77777777" w:rsidR="00646C45" w:rsidRDefault="00646C45" w:rsidP="003B2CC3">
      <w:pPr>
        <w:rPr>
          <w:b/>
          <w:u w:val="single"/>
        </w:rPr>
      </w:pPr>
    </w:p>
    <w:p w14:paraId="737A7C7A" w14:textId="2685CBB6" w:rsidR="003B2CC3" w:rsidRPr="00646C45" w:rsidRDefault="003B2CC3" w:rsidP="003B2CC3">
      <w:pPr>
        <w:rPr>
          <w:b/>
        </w:rPr>
      </w:pPr>
      <w:r w:rsidRPr="00646C45">
        <w:rPr>
          <w:b/>
        </w:rPr>
        <w:t>Funding</w:t>
      </w:r>
    </w:p>
    <w:p w14:paraId="3D063D72" w14:textId="47A49116" w:rsidR="003B2CC3" w:rsidRDefault="003B2CC3" w:rsidP="003B2CC3">
      <w:r>
        <w:t xml:space="preserve">The initial funds used to cover the cost of travel, accommodations, expenses, and the honorarium will be run through AAL. At the end of the current semester AAL will send out a statement documenting all charges incurred during the review and initiate an Inter-Departmental Charge (IDC) which will reverse the funds back to AAL and charge the cost of review to the college that houses the unit reviewed. At that time, the college will determine if any additional steps are needed to disperse the cost.  </w:t>
      </w:r>
    </w:p>
    <w:p w14:paraId="0EDDF130" w14:textId="77777777" w:rsidR="003B2CC3" w:rsidRPr="003B2CC3" w:rsidRDefault="003B2CC3" w:rsidP="003B2CC3">
      <w:pPr>
        <w:rPr>
          <w:color w:val="2E74B5" w:themeColor="accent1" w:themeShade="BF"/>
        </w:rPr>
      </w:pPr>
    </w:p>
    <w:sectPr w:rsidR="003B2CC3" w:rsidRPr="003B2CC3" w:rsidSect="008516E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Neue">
    <w:charset w:val="00"/>
    <w:family w:val="auto"/>
    <w:pitch w:val="variable"/>
    <w:sig w:usb0="8000006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4B16"/>
    <w:multiLevelType w:val="hybridMultilevel"/>
    <w:tmpl w:val="AD343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9F3028"/>
    <w:multiLevelType w:val="hybridMultilevel"/>
    <w:tmpl w:val="519419D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B07077"/>
    <w:multiLevelType w:val="hybridMultilevel"/>
    <w:tmpl w:val="CB14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3D"/>
    <w:rsid w:val="000E498A"/>
    <w:rsid w:val="000F0290"/>
    <w:rsid w:val="00114DC0"/>
    <w:rsid w:val="0018638D"/>
    <w:rsid w:val="001D13D5"/>
    <w:rsid w:val="00264793"/>
    <w:rsid w:val="00335B1F"/>
    <w:rsid w:val="00385C8D"/>
    <w:rsid w:val="003B2CC3"/>
    <w:rsid w:val="003C2E3D"/>
    <w:rsid w:val="004201B8"/>
    <w:rsid w:val="005075CA"/>
    <w:rsid w:val="005D37B4"/>
    <w:rsid w:val="005E49C9"/>
    <w:rsid w:val="00625529"/>
    <w:rsid w:val="00635F81"/>
    <w:rsid w:val="006360F1"/>
    <w:rsid w:val="00646C45"/>
    <w:rsid w:val="00681C17"/>
    <w:rsid w:val="006E7C89"/>
    <w:rsid w:val="0075155F"/>
    <w:rsid w:val="00772625"/>
    <w:rsid w:val="007825DF"/>
    <w:rsid w:val="008516EA"/>
    <w:rsid w:val="008A4E34"/>
    <w:rsid w:val="00902207"/>
    <w:rsid w:val="009C0132"/>
    <w:rsid w:val="009F0A99"/>
    <w:rsid w:val="00A33858"/>
    <w:rsid w:val="00A53C2F"/>
    <w:rsid w:val="00A54CE0"/>
    <w:rsid w:val="00BE3414"/>
    <w:rsid w:val="00C318ED"/>
    <w:rsid w:val="00C83506"/>
    <w:rsid w:val="00CC7109"/>
    <w:rsid w:val="00DE0EDB"/>
    <w:rsid w:val="00E31F68"/>
    <w:rsid w:val="00E40FEB"/>
    <w:rsid w:val="00E62839"/>
    <w:rsid w:val="00EA5CE2"/>
    <w:rsid w:val="00ED3C37"/>
    <w:rsid w:val="00ED76AA"/>
    <w:rsid w:val="00F05B7F"/>
    <w:rsid w:val="00F6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572C"/>
  <w15:chartTrackingRefBased/>
  <w15:docId w15:val="{188909F6-BF67-4305-A538-A7962C89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HOLLIE B</dc:creator>
  <cp:keywords/>
  <dc:description/>
  <cp:lastModifiedBy>SIMPSON, HOLLIE B</cp:lastModifiedBy>
  <cp:revision>24</cp:revision>
  <dcterms:created xsi:type="dcterms:W3CDTF">2018-07-09T14:35:00Z</dcterms:created>
  <dcterms:modified xsi:type="dcterms:W3CDTF">2019-07-25T21:06:00Z</dcterms:modified>
</cp:coreProperties>
</file>