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81CF" w14:textId="77777777" w:rsidR="00DF5F0F" w:rsidRDefault="00FD12D3">
      <w:r>
        <w:rPr>
          <w:noProof/>
        </w:rPr>
        <w:drawing>
          <wp:anchor distT="0" distB="0" distL="114300" distR="114300" simplePos="0" relativeHeight="251658240" behindDoc="0" locked="0" layoutInCell="1" allowOverlap="1" wp14:anchorId="02984D87" wp14:editId="27E2E01A">
            <wp:simplePos x="914400" y="914400"/>
            <wp:positionH relativeFrom="margin">
              <wp:align>center</wp:align>
            </wp:positionH>
            <wp:positionV relativeFrom="margin">
              <wp:posOffset>330200</wp:posOffset>
            </wp:positionV>
            <wp:extent cx="25527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T_TRU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700" cy="609600"/>
                    </a:xfrm>
                    <a:prstGeom prst="rect">
                      <a:avLst/>
                    </a:prstGeom>
                  </pic:spPr>
                </pic:pic>
              </a:graphicData>
            </a:graphic>
            <wp14:sizeRelH relativeFrom="margin">
              <wp14:pctWidth>0</wp14:pctWidth>
            </wp14:sizeRelH>
            <wp14:sizeRelV relativeFrom="margin">
              <wp14:pctHeight>0</wp14:pctHeight>
            </wp14:sizeRelV>
          </wp:anchor>
        </w:drawing>
      </w:r>
    </w:p>
    <w:p w14:paraId="46EDE805" w14:textId="77777777" w:rsidR="00DF5F0F" w:rsidRDefault="00DF5F0F"/>
    <w:p w14:paraId="2FEAF18B" w14:textId="77777777" w:rsidR="00DF5F0F" w:rsidRDefault="00DF5F0F"/>
    <w:p w14:paraId="63412049" w14:textId="77777777" w:rsidR="006B247A" w:rsidRPr="00523674" w:rsidRDefault="006B247A" w:rsidP="00DF5F0F">
      <w:pPr>
        <w:jc w:val="center"/>
        <w:rPr>
          <w:rFonts w:ascii="Arial" w:hAnsi="Arial"/>
          <w:b/>
          <w:sz w:val="16"/>
          <w:szCs w:val="16"/>
        </w:rPr>
      </w:pPr>
    </w:p>
    <w:p w14:paraId="5480729A" w14:textId="35398FCE" w:rsidR="00113903" w:rsidRDefault="00DF5F0F" w:rsidP="00EB0E72">
      <w:pPr>
        <w:jc w:val="center"/>
        <w:rPr>
          <w:rFonts w:ascii="Arial" w:hAnsi="Arial"/>
          <w:b/>
          <w:sz w:val="24"/>
        </w:rPr>
      </w:pPr>
      <w:r>
        <w:rPr>
          <w:rFonts w:ascii="Arial" w:hAnsi="Arial"/>
          <w:b/>
          <w:sz w:val="24"/>
        </w:rPr>
        <w:t>FACULTY PROFESSIONAL TRAVEL</w:t>
      </w:r>
      <w:r w:rsidR="009B6460">
        <w:rPr>
          <w:rFonts w:ascii="Arial" w:hAnsi="Arial"/>
          <w:b/>
          <w:sz w:val="24"/>
        </w:rPr>
        <w:t xml:space="preserve"> GUIDELINES</w:t>
      </w:r>
      <w:r w:rsidR="00442E78">
        <w:rPr>
          <w:rFonts w:ascii="Arial" w:hAnsi="Arial"/>
          <w:b/>
          <w:sz w:val="24"/>
        </w:rPr>
        <w:t xml:space="preserve"> (Revised </w:t>
      </w:r>
      <w:r w:rsidR="00361873">
        <w:rPr>
          <w:rFonts w:ascii="Arial" w:hAnsi="Arial"/>
          <w:b/>
          <w:sz w:val="24"/>
        </w:rPr>
        <w:t>Oct</w:t>
      </w:r>
      <w:r w:rsidR="00EB0E72">
        <w:rPr>
          <w:rFonts w:ascii="Arial" w:hAnsi="Arial"/>
          <w:b/>
          <w:sz w:val="24"/>
        </w:rPr>
        <w:t>. 20</w:t>
      </w:r>
      <w:r w:rsidR="00361873">
        <w:rPr>
          <w:rFonts w:ascii="Arial" w:hAnsi="Arial"/>
          <w:b/>
          <w:sz w:val="24"/>
        </w:rPr>
        <w:t>21</w:t>
      </w:r>
      <w:r w:rsidR="00442E78">
        <w:rPr>
          <w:rFonts w:ascii="Arial" w:hAnsi="Arial"/>
          <w:b/>
          <w:sz w:val="24"/>
        </w:rPr>
        <w:t>)</w:t>
      </w:r>
    </w:p>
    <w:p w14:paraId="5EB94EDE" w14:textId="77777777" w:rsidR="00DF5F0F" w:rsidRDefault="00295EE2" w:rsidP="00295EE2">
      <w:pPr>
        <w:pStyle w:val="ListParagraph"/>
        <w:numPr>
          <w:ilvl w:val="0"/>
          <w:numId w:val="1"/>
        </w:numPr>
        <w:rPr>
          <w:b/>
        </w:rPr>
      </w:pPr>
      <w:r>
        <w:rPr>
          <w:b/>
        </w:rPr>
        <w:t>A maximum of $</w:t>
      </w:r>
      <w:r w:rsidR="00442E78">
        <w:rPr>
          <w:b/>
        </w:rPr>
        <w:t>1,000</w:t>
      </w:r>
      <w:r>
        <w:rPr>
          <w:b/>
        </w:rPr>
        <w:t xml:space="preserve"> per full-time TT and NTT faculty is available for reimbursement for “Approved” </w:t>
      </w:r>
      <w:r w:rsidR="002255E4">
        <w:rPr>
          <w:b/>
        </w:rPr>
        <w:t>f</w:t>
      </w:r>
      <w:r>
        <w:rPr>
          <w:b/>
        </w:rPr>
        <w:t xml:space="preserve">aculty </w:t>
      </w:r>
      <w:r w:rsidR="002255E4">
        <w:rPr>
          <w:b/>
        </w:rPr>
        <w:t>p</w:t>
      </w:r>
      <w:r>
        <w:rPr>
          <w:b/>
        </w:rPr>
        <w:t xml:space="preserve">rofessional </w:t>
      </w:r>
      <w:r w:rsidR="002255E4">
        <w:rPr>
          <w:b/>
        </w:rPr>
        <w:t>t</w:t>
      </w:r>
      <w:r>
        <w:rPr>
          <w:b/>
        </w:rPr>
        <w:t>ravel</w:t>
      </w:r>
      <w:r w:rsidR="002255E4">
        <w:rPr>
          <w:b/>
        </w:rPr>
        <w:t xml:space="preserve"> during the fiscal year (July 1-June 30).  The maximum can be reimbursed for a single conference, etc., or for several smaller ones</w:t>
      </w:r>
      <w:r>
        <w:rPr>
          <w:b/>
        </w:rPr>
        <w:t>.</w:t>
      </w:r>
    </w:p>
    <w:p w14:paraId="06137B16" w14:textId="77777777" w:rsidR="00AD52F6" w:rsidRDefault="00AD52F6" w:rsidP="00AD52F6">
      <w:pPr>
        <w:pStyle w:val="ListParagraph"/>
        <w:rPr>
          <w:b/>
        </w:rPr>
      </w:pPr>
    </w:p>
    <w:p w14:paraId="3465A5B4" w14:textId="5348D74C" w:rsidR="00E50622" w:rsidRDefault="00C2287B" w:rsidP="00E50622">
      <w:pPr>
        <w:pStyle w:val="ListParagraph"/>
        <w:numPr>
          <w:ilvl w:val="0"/>
          <w:numId w:val="1"/>
        </w:numPr>
        <w:rPr>
          <w:b/>
        </w:rPr>
      </w:pPr>
      <w:r>
        <w:rPr>
          <w:b/>
        </w:rPr>
        <w:t xml:space="preserve">A </w:t>
      </w:r>
      <w:r>
        <w:rPr>
          <w:b/>
          <w:i/>
        </w:rPr>
        <w:t xml:space="preserve">Faculty Absence Authorization/Expenditure Estimate </w:t>
      </w:r>
      <w:r w:rsidR="007756D6" w:rsidRPr="00D04539">
        <w:rPr>
          <w:b/>
        </w:rPr>
        <w:t>f</w:t>
      </w:r>
      <w:r w:rsidRPr="00D04539">
        <w:rPr>
          <w:b/>
        </w:rPr>
        <w:t>orm</w:t>
      </w:r>
      <w:r w:rsidR="007756D6">
        <w:rPr>
          <w:b/>
          <w:i/>
        </w:rPr>
        <w:t xml:space="preserve"> </w:t>
      </w:r>
      <w:r>
        <w:rPr>
          <w:b/>
        </w:rPr>
        <w:t>must be completed and submitted to the Ass</w:t>
      </w:r>
      <w:r w:rsidR="00732C09">
        <w:rPr>
          <w:b/>
        </w:rPr>
        <w:t>istant</w:t>
      </w:r>
      <w:r>
        <w:rPr>
          <w:b/>
        </w:rPr>
        <w:t xml:space="preserve"> Dean for approval PRIOR to the travel.</w:t>
      </w:r>
      <w:r w:rsidR="00F40020">
        <w:rPr>
          <w:b/>
        </w:rPr>
        <w:t xml:space="preserve">  </w:t>
      </w:r>
      <w:r w:rsidR="000976A4">
        <w:rPr>
          <w:b/>
        </w:rPr>
        <w:t>The f</w:t>
      </w:r>
      <w:r w:rsidR="00F40020">
        <w:rPr>
          <w:b/>
        </w:rPr>
        <w:t xml:space="preserve">orm can be found on the Business Services webpage at </w:t>
      </w:r>
      <w:hyperlink r:id="rId6" w:history="1">
        <w:r w:rsidR="00F125BC" w:rsidRPr="00DB3592">
          <w:rPr>
            <w:rStyle w:val="Hyperlink"/>
            <w:b/>
          </w:rPr>
          <w:t>www.kent.edu/trumbull/business-services-0</w:t>
        </w:r>
      </w:hyperlink>
      <w:r w:rsidR="00E50622">
        <w:rPr>
          <w:b/>
        </w:rPr>
        <w:t>.</w:t>
      </w:r>
      <w:r w:rsidR="00361873">
        <w:rPr>
          <w:b/>
        </w:rPr>
        <w:t xml:space="preserve">  Also, </w:t>
      </w:r>
      <w:r w:rsidR="00C44E5E">
        <w:rPr>
          <w:b/>
        </w:rPr>
        <w:t>p</w:t>
      </w:r>
      <w:r w:rsidR="00361873">
        <w:rPr>
          <w:b/>
        </w:rPr>
        <w:t>reauthorization for overnight travel and air travel must be processed through Chrome River using a preapproval report. (See University Travel manual, page 4, section 2.1.)</w:t>
      </w:r>
    </w:p>
    <w:p w14:paraId="3A92B266" w14:textId="77777777" w:rsidR="00E50622" w:rsidRPr="00E50622" w:rsidRDefault="00E50622" w:rsidP="00E50622">
      <w:pPr>
        <w:pStyle w:val="ListParagraph"/>
        <w:rPr>
          <w:b/>
        </w:rPr>
      </w:pPr>
    </w:p>
    <w:p w14:paraId="28D2BBE3" w14:textId="7F26E08D" w:rsidR="00295EE2" w:rsidRDefault="000976A4" w:rsidP="00B5306C">
      <w:pPr>
        <w:pStyle w:val="ListParagraph"/>
        <w:numPr>
          <w:ilvl w:val="0"/>
          <w:numId w:val="1"/>
        </w:numPr>
        <w:rPr>
          <w:b/>
        </w:rPr>
      </w:pPr>
      <w:r w:rsidRPr="000976A4">
        <w:rPr>
          <w:b/>
          <w:u w:val="single"/>
        </w:rPr>
        <w:t>International Travel</w:t>
      </w:r>
      <w:r>
        <w:rPr>
          <w:b/>
        </w:rPr>
        <w:t xml:space="preserve">: </w:t>
      </w:r>
      <w:r w:rsidR="006D3ABD">
        <w:rPr>
          <w:b/>
        </w:rPr>
        <w:t xml:space="preserve">If traveling outside of the continental US and Canada on KSU Business, you must notify Risk Management.  </w:t>
      </w:r>
      <w:r w:rsidR="00B5306C">
        <w:rPr>
          <w:b/>
        </w:rPr>
        <w:t xml:space="preserve">International Travel Insurance and contact information can be found at </w:t>
      </w:r>
      <w:hyperlink r:id="rId7" w:history="1">
        <w:r w:rsidR="00F125BC" w:rsidRPr="00DB3592">
          <w:rPr>
            <w:rStyle w:val="Hyperlink"/>
            <w:b/>
          </w:rPr>
          <w:t>www.kent.edu/compliance/international-travel-insurance</w:t>
        </w:r>
      </w:hyperlink>
      <w:r w:rsidR="00B5306C">
        <w:rPr>
          <w:b/>
        </w:rPr>
        <w:t>.</w:t>
      </w:r>
      <w:r w:rsidR="008E0293">
        <w:rPr>
          <w:b/>
        </w:rPr>
        <w:t xml:space="preserve"> (See University Travel manual, page 7, section 3.1.)</w:t>
      </w:r>
    </w:p>
    <w:p w14:paraId="377EBC39" w14:textId="77777777" w:rsidR="007756D6" w:rsidRPr="007756D6" w:rsidRDefault="007756D6" w:rsidP="007756D6">
      <w:pPr>
        <w:pStyle w:val="ListParagraph"/>
        <w:rPr>
          <w:b/>
        </w:rPr>
      </w:pPr>
    </w:p>
    <w:p w14:paraId="1407987F" w14:textId="77777777" w:rsidR="007756D6" w:rsidRDefault="005D0CBB" w:rsidP="00295EE2">
      <w:pPr>
        <w:pStyle w:val="ListParagraph"/>
        <w:numPr>
          <w:ilvl w:val="0"/>
          <w:numId w:val="1"/>
        </w:numPr>
        <w:rPr>
          <w:b/>
        </w:rPr>
      </w:pPr>
      <w:r>
        <w:rPr>
          <w:b/>
        </w:rPr>
        <w:t>Conference Registration fees may be paid on the University Credit Card prior to travel by supplying the necessary information to the Business Services office after receiving approval for the travel.</w:t>
      </w:r>
      <w:r w:rsidR="0096000D">
        <w:rPr>
          <w:b/>
        </w:rPr>
        <w:t xml:space="preserve">  </w:t>
      </w:r>
      <w:r w:rsidR="00240112">
        <w:rPr>
          <w:b/>
        </w:rPr>
        <w:t xml:space="preserve">Faculty travel funds DO NOT </w:t>
      </w:r>
      <w:r w:rsidR="000976A4">
        <w:rPr>
          <w:b/>
        </w:rPr>
        <w:t>COVER MEMBERSHIP FEES and must not</w:t>
      </w:r>
      <w:r w:rsidR="0096000D" w:rsidRPr="00240112">
        <w:rPr>
          <w:b/>
        </w:rPr>
        <w:t xml:space="preserve"> be included in the registration fee amount</w:t>
      </w:r>
      <w:r w:rsidR="00240112">
        <w:rPr>
          <w:b/>
        </w:rPr>
        <w:t xml:space="preserve">.  </w:t>
      </w:r>
      <w:r w:rsidR="001F4FD4" w:rsidRPr="00772121">
        <w:rPr>
          <w:b/>
          <w:u w:val="single"/>
        </w:rPr>
        <w:t>Please include a copy of the conference program, brochure, etc. that details what is included in the</w:t>
      </w:r>
      <w:r w:rsidR="00240112" w:rsidRPr="00772121">
        <w:rPr>
          <w:b/>
          <w:u w:val="single"/>
        </w:rPr>
        <w:t xml:space="preserve"> registration</w:t>
      </w:r>
      <w:r w:rsidR="001F4FD4" w:rsidRPr="00772121">
        <w:rPr>
          <w:b/>
          <w:u w:val="single"/>
        </w:rPr>
        <w:t xml:space="preserve"> fees</w:t>
      </w:r>
      <w:r w:rsidR="001F4FD4">
        <w:rPr>
          <w:b/>
        </w:rPr>
        <w:t>.  (</w:t>
      </w:r>
      <w:r w:rsidR="001F4FD4" w:rsidRPr="00F125BC">
        <w:rPr>
          <w:b/>
          <w:i/>
        </w:rPr>
        <w:t>Meals included in the</w:t>
      </w:r>
      <w:r w:rsidR="00C40EFA" w:rsidRPr="00F125BC">
        <w:rPr>
          <w:b/>
          <w:i/>
        </w:rPr>
        <w:t xml:space="preserve"> conference</w:t>
      </w:r>
      <w:r w:rsidR="001F4FD4" w:rsidRPr="00F125BC">
        <w:rPr>
          <w:b/>
          <w:i/>
        </w:rPr>
        <w:t xml:space="preserve"> registration fees </w:t>
      </w:r>
      <w:r w:rsidR="00BF5E42" w:rsidRPr="00F125BC">
        <w:rPr>
          <w:b/>
          <w:i/>
        </w:rPr>
        <w:t>will</w:t>
      </w:r>
      <w:r w:rsidR="001F4FD4" w:rsidRPr="00F125BC">
        <w:rPr>
          <w:b/>
          <w:i/>
        </w:rPr>
        <w:t xml:space="preserve"> not </w:t>
      </w:r>
      <w:r w:rsidR="00BF5E42" w:rsidRPr="00F125BC">
        <w:rPr>
          <w:b/>
          <w:i/>
        </w:rPr>
        <w:t xml:space="preserve">be </w:t>
      </w:r>
      <w:r w:rsidR="001F4FD4" w:rsidRPr="00F125BC">
        <w:rPr>
          <w:b/>
          <w:i/>
        </w:rPr>
        <w:t xml:space="preserve">eligible for </w:t>
      </w:r>
      <w:r w:rsidR="00C40EFA" w:rsidRPr="00F125BC">
        <w:rPr>
          <w:b/>
          <w:i/>
        </w:rPr>
        <w:t xml:space="preserve">a per diem meal </w:t>
      </w:r>
      <w:r w:rsidR="001F4FD4" w:rsidRPr="00F125BC">
        <w:rPr>
          <w:b/>
          <w:i/>
        </w:rPr>
        <w:t>reimbursement</w:t>
      </w:r>
      <w:r w:rsidR="001F4FD4">
        <w:rPr>
          <w:b/>
        </w:rPr>
        <w:t>).</w:t>
      </w:r>
    </w:p>
    <w:p w14:paraId="0272060D" w14:textId="77777777" w:rsidR="005D0CBB" w:rsidRPr="005D0CBB" w:rsidRDefault="005D0CBB" w:rsidP="005D0CBB">
      <w:pPr>
        <w:pStyle w:val="ListParagraph"/>
        <w:rPr>
          <w:b/>
        </w:rPr>
      </w:pPr>
    </w:p>
    <w:p w14:paraId="6B5EBFE4" w14:textId="69BB6726" w:rsidR="008D36AA" w:rsidRDefault="008E0293" w:rsidP="00295EE2">
      <w:pPr>
        <w:pStyle w:val="ListParagraph"/>
        <w:numPr>
          <w:ilvl w:val="0"/>
          <w:numId w:val="1"/>
        </w:numPr>
        <w:rPr>
          <w:b/>
        </w:rPr>
      </w:pPr>
      <w:r>
        <w:rPr>
          <w:b/>
        </w:rPr>
        <w:t xml:space="preserve">Reimbursement requests must be submitted within sixty days of incurring the expenses.  </w:t>
      </w:r>
      <w:r w:rsidR="005D0CBB">
        <w:rPr>
          <w:b/>
        </w:rPr>
        <w:t>Eligible expenses must be supported by ORIGINAL receipts</w:t>
      </w:r>
      <w:r w:rsidR="000976A4">
        <w:rPr>
          <w:b/>
        </w:rPr>
        <w:t xml:space="preserve"> that detail the expenditures</w:t>
      </w:r>
      <w:r w:rsidR="005D0CBB">
        <w:rPr>
          <w:b/>
        </w:rPr>
        <w:t xml:space="preserve"> (</w:t>
      </w:r>
      <w:r w:rsidR="005D0CBB" w:rsidRPr="00772121">
        <w:rPr>
          <w:b/>
          <w:i/>
        </w:rPr>
        <w:t>credit card slips, showing only the total amount, do not constitute original receipts</w:t>
      </w:r>
      <w:r w:rsidR="005D0CBB">
        <w:rPr>
          <w:b/>
        </w:rPr>
        <w:t>).</w:t>
      </w:r>
      <w:r w:rsidR="0006675B">
        <w:rPr>
          <w:b/>
        </w:rPr>
        <w:t xml:space="preserve">  </w:t>
      </w:r>
      <w:r w:rsidR="00814AC5">
        <w:rPr>
          <w:b/>
          <w:u w:val="single"/>
        </w:rPr>
        <w:t>The Calculate Mileage Wizard should be used to automatically calculate the mileage via Google Maps by entering the start and end addresses.  (See the Chrome River User Guide for more details).</w:t>
      </w:r>
    </w:p>
    <w:p w14:paraId="2CF47D40" w14:textId="77777777" w:rsidR="008D36AA" w:rsidRPr="008D36AA" w:rsidRDefault="008D36AA" w:rsidP="008D36AA">
      <w:pPr>
        <w:pStyle w:val="ListParagraph"/>
        <w:rPr>
          <w:b/>
        </w:rPr>
      </w:pPr>
    </w:p>
    <w:p w14:paraId="3A75CE8D" w14:textId="77777777" w:rsidR="005D0CBB" w:rsidRDefault="00C7178A" w:rsidP="00295EE2">
      <w:pPr>
        <w:pStyle w:val="ListParagraph"/>
        <w:numPr>
          <w:ilvl w:val="0"/>
          <w:numId w:val="1"/>
        </w:numPr>
        <w:rPr>
          <w:b/>
        </w:rPr>
      </w:pPr>
      <w:r w:rsidRPr="00772121">
        <w:rPr>
          <w:b/>
          <w:i/>
          <w:u w:val="single"/>
        </w:rPr>
        <w:t>Driving vs. Flying</w:t>
      </w:r>
      <w:r>
        <w:rPr>
          <w:b/>
        </w:rPr>
        <w:t xml:space="preserve">: Per University policy 7-02.8, “Travelers are encouraged to compare all the costs associated with each mode of transportation and select the one that is the most cost effective.”  To compare the $ amount for reimbursement for driving via personal car vs. flying, additional costs for flying (i.e. $ for travel to/from airport, airport parking, public transportation or car rental at destination, etc.) will be added to </w:t>
      </w:r>
      <w:r w:rsidR="000976A4">
        <w:rPr>
          <w:b/>
        </w:rPr>
        <w:t xml:space="preserve">the </w:t>
      </w:r>
      <w:r w:rsidR="00E64131">
        <w:rPr>
          <w:b/>
        </w:rPr>
        <w:t xml:space="preserve">cost of airfare to determine the total costs to fly. </w:t>
      </w:r>
      <w:r w:rsidR="00AA79F0">
        <w:rPr>
          <w:b/>
        </w:rPr>
        <w:t xml:space="preserve"> (</w:t>
      </w:r>
      <w:r w:rsidR="00AA79F0" w:rsidRPr="00772121">
        <w:rPr>
          <w:b/>
          <w:i/>
          <w:u w:val="single"/>
        </w:rPr>
        <w:t>Traveler is required to provide this information/documentation</w:t>
      </w:r>
      <w:r w:rsidR="00AA79F0">
        <w:rPr>
          <w:b/>
        </w:rPr>
        <w:t xml:space="preserve">).  </w:t>
      </w:r>
      <w:r w:rsidR="00E64131">
        <w:rPr>
          <w:b/>
        </w:rPr>
        <w:t xml:space="preserve"> Reimbursement for use of a privately-owned vehicle will be paid at the lower of a mileage allowance or the accumulated costs to fly.</w:t>
      </w:r>
      <w:r w:rsidR="00C52BB1">
        <w:rPr>
          <w:b/>
        </w:rPr>
        <w:t xml:space="preserve"> </w:t>
      </w:r>
      <w:r w:rsidR="0096000D">
        <w:rPr>
          <w:b/>
        </w:rPr>
        <w:t xml:space="preserve"> </w:t>
      </w:r>
    </w:p>
    <w:p w14:paraId="5481C9F1" w14:textId="77777777" w:rsidR="005D0CBB" w:rsidRPr="005D0CBB" w:rsidRDefault="005D0CBB" w:rsidP="005D0CBB">
      <w:pPr>
        <w:pStyle w:val="ListParagraph"/>
        <w:rPr>
          <w:b/>
        </w:rPr>
      </w:pPr>
    </w:p>
    <w:p w14:paraId="122D10C6" w14:textId="32F94B8D" w:rsidR="006A58DD" w:rsidRDefault="005D0CBB" w:rsidP="006A58DD">
      <w:pPr>
        <w:pStyle w:val="ListParagraph"/>
        <w:numPr>
          <w:ilvl w:val="0"/>
          <w:numId w:val="1"/>
        </w:numPr>
        <w:rPr>
          <w:b/>
        </w:rPr>
      </w:pPr>
      <w:r w:rsidRPr="006A58DD">
        <w:rPr>
          <w:b/>
        </w:rPr>
        <w:t xml:space="preserve">Links to </w:t>
      </w:r>
      <w:r w:rsidR="00D94C5F">
        <w:rPr>
          <w:b/>
        </w:rPr>
        <w:t>Chrome River Travel &amp; Expense Management (TEM) User</w:t>
      </w:r>
      <w:r w:rsidRPr="006A58DD">
        <w:rPr>
          <w:b/>
        </w:rPr>
        <w:t xml:space="preserve"> Guide,</w:t>
      </w:r>
      <w:r w:rsidR="003A4F94" w:rsidRPr="006A58DD">
        <w:rPr>
          <w:b/>
        </w:rPr>
        <w:t xml:space="preserve"> Travel </w:t>
      </w:r>
      <w:r w:rsidR="00D94C5F">
        <w:rPr>
          <w:b/>
        </w:rPr>
        <w:t>Policy</w:t>
      </w:r>
      <w:r w:rsidR="003A4F94" w:rsidRPr="006A58DD">
        <w:rPr>
          <w:b/>
        </w:rPr>
        <w:t xml:space="preserve"> </w:t>
      </w:r>
      <w:r w:rsidR="00D94C5F">
        <w:rPr>
          <w:b/>
        </w:rPr>
        <w:t>&amp;</w:t>
      </w:r>
      <w:r w:rsidR="003A4F94" w:rsidRPr="006A58DD">
        <w:rPr>
          <w:b/>
        </w:rPr>
        <w:t xml:space="preserve"> </w:t>
      </w:r>
      <w:r w:rsidR="00D94C5F">
        <w:rPr>
          <w:b/>
        </w:rPr>
        <w:t>Procedure</w:t>
      </w:r>
      <w:r w:rsidR="003A4F94" w:rsidRPr="006A58DD">
        <w:rPr>
          <w:b/>
        </w:rPr>
        <w:t xml:space="preserve">, </w:t>
      </w:r>
      <w:r w:rsidR="00D94C5F">
        <w:rPr>
          <w:b/>
        </w:rPr>
        <w:t>and</w:t>
      </w:r>
      <w:r w:rsidR="003A4F94" w:rsidRPr="006A58DD">
        <w:rPr>
          <w:b/>
        </w:rPr>
        <w:t xml:space="preserve"> </w:t>
      </w:r>
      <w:r w:rsidR="00D94C5F">
        <w:rPr>
          <w:b/>
        </w:rPr>
        <w:t xml:space="preserve">University Travel Manual </w:t>
      </w:r>
      <w:r w:rsidR="003A4F94" w:rsidRPr="006A58DD">
        <w:rPr>
          <w:b/>
        </w:rPr>
        <w:t xml:space="preserve">are available on the Business Services webpage at </w:t>
      </w:r>
      <w:hyperlink r:id="rId8" w:history="1">
        <w:r w:rsidR="00F125BC" w:rsidRPr="00DB3592">
          <w:rPr>
            <w:rStyle w:val="Hyperlink"/>
            <w:b/>
          </w:rPr>
          <w:t>www.kent.edu/trumbull/business-services-0</w:t>
        </w:r>
      </w:hyperlink>
      <w:r w:rsidR="006A58DD">
        <w:rPr>
          <w:b/>
        </w:rPr>
        <w:t>.</w:t>
      </w:r>
    </w:p>
    <w:p w14:paraId="65E936D2" w14:textId="77777777" w:rsidR="003A7A87" w:rsidRPr="006A58DD" w:rsidRDefault="003A7A87" w:rsidP="006A58DD">
      <w:pPr>
        <w:pStyle w:val="ListParagraph"/>
        <w:rPr>
          <w:b/>
        </w:rPr>
      </w:pPr>
    </w:p>
    <w:p w14:paraId="3EE90DA6" w14:textId="77777777" w:rsidR="003A4F94" w:rsidRDefault="008F58C0" w:rsidP="00295EE2">
      <w:pPr>
        <w:pStyle w:val="ListParagraph"/>
        <w:numPr>
          <w:ilvl w:val="0"/>
          <w:numId w:val="1"/>
        </w:numPr>
        <w:rPr>
          <w:b/>
        </w:rPr>
      </w:pPr>
      <w:r>
        <w:rPr>
          <w:b/>
        </w:rPr>
        <w:t>Contact information – Business Services Office:</w:t>
      </w:r>
    </w:p>
    <w:p w14:paraId="0DBD80B6" w14:textId="77777777" w:rsidR="008F58C0" w:rsidRPr="008F58C0" w:rsidRDefault="008F58C0" w:rsidP="008F58C0">
      <w:pPr>
        <w:pStyle w:val="ListParagraph"/>
        <w:rPr>
          <w:b/>
        </w:rPr>
      </w:pPr>
    </w:p>
    <w:p w14:paraId="39FF6CB5" w14:textId="77777777" w:rsidR="008F58C0" w:rsidRDefault="008F58C0" w:rsidP="008F58C0">
      <w:pPr>
        <w:pStyle w:val="ListParagraph"/>
        <w:rPr>
          <w:b/>
        </w:rPr>
      </w:pPr>
      <w:r>
        <w:rPr>
          <w:b/>
        </w:rPr>
        <w:t>Elaine Petrosky, Business Services Administrator</w:t>
      </w:r>
      <w:r w:rsidR="007B41A1">
        <w:rPr>
          <w:b/>
        </w:rPr>
        <w:t xml:space="preserve">    </w:t>
      </w:r>
      <w:r w:rsidR="007B41A1">
        <w:rPr>
          <w:b/>
        </w:rPr>
        <w:tab/>
      </w:r>
      <w:r w:rsidR="003634B0">
        <w:rPr>
          <w:b/>
        </w:rPr>
        <w:t>Dawn Cook</w:t>
      </w:r>
      <w:r w:rsidR="004D44CB">
        <w:rPr>
          <w:b/>
        </w:rPr>
        <w:t>, Administrative Clerk</w:t>
      </w:r>
    </w:p>
    <w:p w14:paraId="16FA2423" w14:textId="77777777" w:rsidR="008F58C0" w:rsidRDefault="008F58C0" w:rsidP="008F58C0">
      <w:pPr>
        <w:pStyle w:val="ListParagraph"/>
        <w:rPr>
          <w:b/>
        </w:rPr>
      </w:pPr>
      <w:r>
        <w:rPr>
          <w:b/>
        </w:rPr>
        <w:t xml:space="preserve">Classroom/Administration </w:t>
      </w:r>
      <w:r w:rsidR="00E54FC9">
        <w:rPr>
          <w:b/>
        </w:rPr>
        <w:t>B</w:t>
      </w:r>
      <w:r>
        <w:rPr>
          <w:b/>
        </w:rPr>
        <w:t>uilding-Room 201A</w:t>
      </w:r>
      <w:r w:rsidR="007B41A1">
        <w:rPr>
          <w:b/>
        </w:rPr>
        <w:tab/>
        <w:t>Classroom/Administration Building-Room 201B</w:t>
      </w:r>
    </w:p>
    <w:p w14:paraId="15491807" w14:textId="77777777" w:rsidR="008F58C0" w:rsidRDefault="008F58C0" w:rsidP="008F58C0">
      <w:pPr>
        <w:pStyle w:val="ListParagraph"/>
        <w:rPr>
          <w:b/>
        </w:rPr>
      </w:pPr>
      <w:r>
        <w:rPr>
          <w:b/>
        </w:rPr>
        <w:t>Phone: 330-675-8864,</w:t>
      </w:r>
      <w:r w:rsidR="00AA79F0">
        <w:rPr>
          <w:b/>
        </w:rPr>
        <w:t xml:space="preserve"> </w:t>
      </w:r>
      <w:r>
        <w:rPr>
          <w:b/>
        </w:rPr>
        <w:t>5-digit: 58864</w:t>
      </w:r>
      <w:r w:rsidR="007B41A1">
        <w:rPr>
          <w:b/>
        </w:rPr>
        <w:tab/>
      </w:r>
      <w:r w:rsidR="007B41A1">
        <w:rPr>
          <w:b/>
        </w:rPr>
        <w:tab/>
      </w:r>
      <w:r w:rsidR="007B41A1">
        <w:rPr>
          <w:b/>
        </w:rPr>
        <w:tab/>
        <w:t>Phone: 330-675-8975, 5-digit: 58975</w:t>
      </w:r>
    </w:p>
    <w:p w14:paraId="302B78B2" w14:textId="77777777" w:rsidR="003C766A" w:rsidRDefault="008F58C0" w:rsidP="003A4F94">
      <w:pPr>
        <w:pStyle w:val="ListParagraph"/>
        <w:rPr>
          <w:rStyle w:val="Hyperlink"/>
          <w:b/>
        </w:rPr>
      </w:pPr>
      <w:r>
        <w:rPr>
          <w:b/>
        </w:rPr>
        <w:t xml:space="preserve">Email: </w:t>
      </w:r>
      <w:hyperlink r:id="rId9" w:history="1">
        <w:r w:rsidR="007B41A1" w:rsidRPr="00717BDB">
          <w:rPr>
            <w:rStyle w:val="Hyperlink"/>
            <w:b/>
          </w:rPr>
          <w:t>epetrosk@kent.edu</w:t>
        </w:r>
      </w:hyperlink>
      <w:r w:rsidR="007B41A1">
        <w:rPr>
          <w:b/>
        </w:rPr>
        <w:tab/>
      </w:r>
      <w:r w:rsidR="007B41A1">
        <w:rPr>
          <w:b/>
        </w:rPr>
        <w:tab/>
      </w:r>
      <w:r w:rsidR="007B41A1">
        <w:rPr>
          <w:b/>
        </w:rPr>
        <w:tab/>
      </w:r>
      <w:r w:rsidR="007B41A1">
        <w:rPr>
          <w:b/>
        </w:rPr>
        <w:tab/>
        <w:t>Email:</w:t>
      </w:r>
      <w:r w:rsidR="003C766A">
        <w:rPr>
          <w:b/>
        </w:rPr>
        <w:t xml:space="preserve"> </w:t>
      </w:r>
      <w:hyperlink r:id="rId10" w:history="1">
        <w:r w:rsidR="003C766A" w:rsidRPr="00516F29">
          <w:rPr>
            <w:rStyle w:val="Hyperlink"/>
            <w:b/>
          </w:rPr>
          <w:t>dchinchi@kent.edu</w:t>
        </w:r>
      </w:hyperlink>
    </w:p>
    <w:p w14:paraId="44C632D1" w14:textId="77777777" w:rsidR="003C766A" w:rsidRPr="00295EE2" w:rsidRDefault="003C766A" w:rsidP="003A4F94">
      <w:pPr>
        <w:pStyle w:val="ListParagraph"/>
        <w:rPr>
          <w:b/>
        </w:rPr>
      </w:pPr>
    </w:p>
    <w:sectPr w:rsidR="003C766A" w:rsidRPr="00295EE2" w:rsidSect="00361873">
      <w:pgSz w:w="12240" w:h="15840"/>
      <w:pgMar w:top="230" w:right="245" w:bottom="23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765B"/>
    <w:multiLevelType w:val="hybridMultilevel"/>
    <w:tmpl w:val="64381AEA"/>
    <w:lvl w:ilvl="0" w:tplc="4D844BB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F0F"/>
    <w:rsid w:val="0006675B"/>
    <w:rsid w:val="0007414A"/>
    <w:rsid w:val="000976A4"/>
    <w:rsid w:val="000F5645"/>
    <w:rsid w:val="00113903"/>
    <w:rsid w:val="00130C97"/>
    <w:rsid w:val="0016479B"/>
    <w:rsid w:val="00185086"/>
    <w:rsid w:val="001F4FD4"/>
    <w:rsid w:val="002255E4"/>
    <w:rsid w:val="00225E31"/>
    <w:rsid w:val="00240112"/>
    <w:rsid w:val="00295EE2"/>
    <w:rsid w:val="002E5B23"/>
    <w:rsid w:val="00361873"/>
    <w:rsid w:val="003634B0"/>
    <w:rsid w:val="003A4F94"/>
    <w:rsid w:val="003A7A87"/>
    <w:rsid w:val="003C766A"/>
    <w:rsid w:val="003E3D3C"/>
    <w:rsid w:val="00442E78"/>
    <w:rsid w:val="004D44CB"/>
    <w:rsid w:val="00523674"/>
    <w:rsid w:val="005D0CBB"/>
    <w:rsid w:val="006A58DD"/>
    <w:rsid w:val="006B247A"/>
    <w:rsid w:val="006D3ABD"/>
    <w:rsid w:val="00732C09"/>
    <w:rsid w:val="00772121"/>
    <w:rsid w:val="007756D6"/>
    <w:rsid w:val="007B41A1"/>
    <w:rsid w:val="00813089"/>
    <w:rsid w:val="0081361D"/>
    <w:rsid w:val="00814AC5"/>
    <w:rsid w:val="008D36AA"/>
    <w:rsid w:val="008E0293"/>
    <w:rsid w:val="008F58C0"/>
    <w:rsid w:val="0096000D"/>
    <w:rsid w:val="009B6460"/>
    <w:rsid w:val="009F668C"/>
    <w:rsid w:val="00AA79F0"/>
    <w:rsid w:val="00AD52F6"/>
    <w:rsid w:val="00B5306C"/>
    <w:rsid w:val="00B93092"/>
    <w:rsid w:val="00BF5E42"/>
    <w:rsid w:val="00C2287B"/>
    <w:rsid w:val="00C40EFA"/>
    <w:rsid w:val="00C44E5E"/>
    <w:rsid w:val="00C52BB1"/>
    <w:rsid w:val="00C7178A"/>
    <w:rsid w:val="00D04539"/>
    <w:rsid w:val="00D94C5F"/>
    <w:rsid w:val="00DB7C8C"/>
    <w:rsid w:val="00DF5F0F"/>
    <w:rsid w:val="00E50622"/>
    <w:rsid w:val="00E54FC9"/>
    <w:rsid w:val="00E64131"/>
    <w:rsid w:val="00EB0E72"/>
    <w:rsid w:val="00F125BC"/>
    <w:rsid w:val="00F40020"/>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A920"/>
  <w15:docId w15:val="{C0416306-29F9-448D-ACDA-21430262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0F"/>
    <w:rPr>
      <w:rFonts w:ascii="Tahoma" w:hAnsi="Tahoma" w:cs="Tahoma"/>
      <w:sz w:val="16"/>
      <w:szCs w:val="16"/>
    </w:rPr>
  </w:style>
  <w:style w:type="paragraph" w:styleId="ListParagraph">
    <w:name w:val="List Paragraph"/>
    <w:basedOn w:val="Normal"/>
    <w:uiPriority w:val="34"/>
    <w:qFormat/>
    <w:rsid w:val="00295EE2"/>
    <w:pPr>
      <w:ind w:left="720"/>
      <w:contextualSpacing/>
    </w:pPr>
  </w:style>
  <w:style w:type="character" w:styleId="Hyperlink">
    <w:name w:val="Hyperlink"/>
    <w:basedOn w:val="DefaultParagraphFont"/>
    <w:uiPriority w:val="99"/>
    <w:unhideWhenUsed/>
    <w:rsid w:val="003A4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trumbull/business-services-0" TargetMode="External"/><Relationship Id="rId3" Type="http://schemas.openxmlformats.org/officeDocument/2006/relationships/settings" Target="settings.xml"/><Relationship Id="rId7" Type="http://schemas.openxmlformats.org/officeDocument/2006/relationships/hyperlink" Target="http://www.kent.edu/compliance/international-travel-insu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edu/trumbull/business-services-0"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mailto:dchinchi@kent.edu" TargetMode="External"/><Relationship Id="rId4" Type="http://schemas.openxmlformats.org/officeDocument/2006/relationships/webSettings" Target="webSettings.xml"/><Relationship Id="rId9" Type="http://schemas.openxmlformats.org/officeDocument/2006/relationships/hyperlink" Target="mailto:epetrosk@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Trumbull Campus</dc:creator>
  <cp:lastModifiedBy>Petrosky, Elaine</cp:lastModifiedBy>
  <cp:revision>36</cp:revision>
  <cp:lastPrinted>2021-10-26T17:53:00Z</cp:lastPrinted>
  <dcterms:created xsi:type="dcterms:W3CDTF">2014-07-22T14:43:00Z</dcterms:created>
  <dcterms:modified xsi:type="dcterms:W3CDTF">2022-03-03T13:31:00Z</dcterms:modified>
</cp:coreProperties>
</file>