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E162E" w14:textId="69586D94" w:rsidR="00B5565D" w:rsidRPr="009A66F5" w:rsidRDefault="00B5565D" w:rsidP="009A66F5">
      <w:pPr>
        <w:pStyle w:val="Heading1"/>
        <w:rPr>
          <w:rFonts w:ascii="National Black" w:hAnsi="National Black"/>
        </w:rPr>
      </w:pPr>
      <w:r w:rsidRPr="009A66F5">
        <w:rPr>
          <w:rFonts w:ascii="National Black" w:hAnsi="National Black"/>
          <w:color w:val="002060"/>
          <w:sz w:val="36"/>
          <w:szCs w:val="36"/>
        </w:rPr>
        <w:drawing>
          <wp:anchor distT="0" distB="0" distL="114300" distR="114300" simplePos="0" relativeHeight="251658240" behindDoc="0" locked="0" layoutInCell="1" allowOverlap="1" wp14:anchorId="3385D87D" wp14:editId="3A61213B">
            <wp:simplePos x="0" y="0"/>
            <wp:positionH relativeFrom="page">
              <wp:posOffset>0</wp:posOffset>
            </wp:positionH>
            <wp:positionV relativeFrom="paragraph">
              <wp:posOffset>-453</wp:posOffset>
            </wp:positionV>
            <wp:extent cx="7781290" cy="1435735"/>
            <wp:effectExtent l="0" t="0" r="0" b="0"/>
            <wp:wrapThrough wrapText="bothSides">
              <wp:wrapPolygon edited="0">
                <wp:start x="423" y="0"/>
                <wp:lineTo x="212" y="2006"/>
                <wp:lineTo x="0" y="4586"/>
                <wp:lineTo x="0" y="21208"/>
                <wp:lineTo x="21522" y="21208"/>
                <wp:lineTo x="21522" y="0"/>
                <wp:lineTo x="423" y="0"/>
              </wp:wrapPolygon>
            </wp:wrapThrough>
            <wp:docPr id="5" name="Picture 5" descr="Eastern Gatewa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astern Gateway Community College and Kent State University log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1290" cy="1435735"/>
                    </a:xfrm>
                    <a:prstGeom prst="rect">
                      <a:avLst/>
                    </a:prstGeom>
                  </pic:spPr>
                </pic:pic>
              </a:graphicData>
            </a:graphic>
            <wp14:sizeRelH relativeFrom="page">
              <wp14:pctWidth>0</wp14:pctWidth>
            </wp14:sizeRelH>
            <wp14:sizeRelV relativeFrom="page">
              <wp14:pctHeight>0</wp14:pctHeight>
            </wp14:sizeRelV>
          </wp:anchor>
        </w:drawing>
      </w:r>
      <w:r w:rsidR="00773A51" w:rsidRPr="009A66F5">
        <w:rPr>
          <w:rFonts w:ascii="National Black" w:hAnsi="National Black"/>
          <w:color w:val="002060"/>
          <w:sz w:val="36"/>
          <w:szCs w:val="36"/>
        </w:rPr>
        <w:t xml:space="preserve">Associate of Applied Business </w:t>
      </w:r>
      <w:r w:rsidR="00395894" w:rsidRPr="009A66F5">
        <w:rPr>
          <w:rFonts w:ascii="National Black" w:hAnsi="National Black"/>
          <w:color w:val="002060"/>
          <w:sz w:val="36"/>
          <w:szCs w:val="36"/>
        </w:rPr>
        <w:t xml:space="preserve">in Business Management </w:t>
      </w:r>
      <w:r w:rsidR="00773A51" w:rsidRPr="009A66F5">
        <w:rPr>
          <w:rFonts w:ascii="National Black" w:hAnsi="National Black"/>
          <w:color w:val="002060"/>
          <w:sz w:val="36"/>
          <w:szCs w:val="36"/>
        </w:rPr>
        <w:t>to Bachelor of Technical and Applied Studies</w:t>
      </w:r>
    </w:p>
    <w:p w14:paraId="6AE6D264" w14:textId="204925C2" w:rsidR="00EE114A" w:rsidRPr="00EE114A" w:rsidRDefault="00B5565D" w:rsidP="00773A51">
      <w:pPr>
        <w:pStyle w:val="NoSpacing"/>
        <w:jc w:val="center"/>
      </w:pPr>
      <w:r w:rsidRPr="00773A51">
        <w:rPr>
          <w:rFonts w:ascii="National Book" w:hAnsi="National Book"/>
          <w:color w:val="1F3864" w:themeColor="accent1" w:themeShade="80"/>
          <w:sz w:val="24"/>
          <w:szCs w:val="24"/>
        </w:rPr>
        <w:t>B.T.A.S. is offered both fully online and on-ground at Kent State University Regional Campuses</w:t>
      </w:r>
    </w:p>
    <w:tbl>
      <w:tblPr>
        <w:tblStyle w:val="TableGrid"/>
        <w:tblpPr w:leftFromText="180" w:rightFromText="180" w:vertAnchor="text" w:horzAnchor="page" w:tblpX="1466" w:tblpY="521"/>
        <w:tblOverlap w:val="never"/>
        <w:tblW w:w="9445" w:type="dxa"/>
        <w:tblLayout w:type="fixed"/>
        <w:tblLook w:val="0480" w:firstRow="0" w:lastRow="0" w:firstColumn="1" w:lastColumn="0" w:noHBand="0" w:noVBand="1"/>
      </w:tblPr>
      <w:tblGrid>
        <w:gridCol w:w="3870"/>
        <w:gridCol w:w="1710"/>
        <w:gridCol w:w="3865"/>
      </w:tblGrid>
      <w:tr w:rsidR="005B5EF4" w:rsidRPr="00EE114A" w14:paraId="0E295319" w14:textId="77777777" w:rsidTr="009A66F5">
        <w:trPr>
          <w:cantSplit/>
          <w:trHeight w:val="530"/>
        </w:trPr>
        <w:tc>
          <w:tcPr>
            <w:tcW w:w="9445" w:type="dxa"/>
            <w:gridSpan w:val="3"/>
            <w:shd w:val="clear" w:color="auto" w:fill="002060"/>
          </w:tcPr>
          <w:p w14:paraId="4BFD49A0" w14:textId="77777777" w:rsidR="005B5EF4" w:rsidRPr="009A66F5" w:rsidRDefault="005B5EF4" w:rsidP="00B5565D">
            <w:pPr>
              <w:ind w:right="-13"/>
              <w:jc w:val="center"/>
              <w:rPr>
                <w:rFonts w:ascii="National Book" w:hAnsi="National Book"/>
                <w:b/>
                <w:color w:val="FFFFFF" w:themeColor="background1"/>
                <w:szCs w:val="20"/>
              </w:rPr>
            </w:pPr>
            <w:r w:rsidRPr="009A66F5">
              <w:rPr>
                <w:rFonts w:ascii="National Book" w:hAnsi="National Book"/>
                <w:b/>
                <w:color w:val="FFFFFF" w:themeColor="background1"/>
                <w:szCs w:val="20"/>
              </w:rPr>
              <w:t xml:space="preserve">SUGGESTED SEQUENCE AT </w:t>
            </w:r>
          </w:p>
          <w:p w14:paraId="4EFE55AB" w14:textId="77777777" w:rsidR="005B5EF4" w:rsidRPr="009A66F5" w:rsidRDefault="005B5EF4" w:rsidP="00B5565D">
            <w:pPr>
              <w:ind w:right="-13"/>
              <w:jc w:val="center"/>
              <w:rPr>
                <w:rFonts w:ascii="National Book" w:hAnsi="National Book"/>
                <w:b/>
                <w:color w:val="FFFFFF" w:themeColor="background1"/>
                <w:szCs w:val="20"/>
              </w:rPr>
            </w:pPr>
            <w:r w:rsidRPr="009A66F5">
              <w:rPr>
                <w:rFonts w:ascii="National Book" w:hAnsi="National Book"/>
                <w:b/>
                <w:color w:val="FFFFFF" w:themeColor="background1"/>
                <w:szCs w:val="20"/>
              </w:rPr>
              <w:t>EASTERN GATEWAY COMMUNITY COLLEGE</w:t>
            </w:r>
          </w:p>
        </w:tc>
      </w:tr>
      <w:tr w:rsidR="005B5EF4" w:rsidRPr="00EE114A" w14:paraId="057835DE" w14:textId="77777777" w:rsidTr="009A66F5">
        <w:trPr>
          <w:cantSplit/>
          <w:trHeight w:val="250"/>
        </w:trPr>
        <w:tc>
          <w:tcPr>
            <w:tcW w:w="3870" w:type="dxa"/>
            <w:shd w:val="clear" w:color="auto" w:fill="D9D9D9" w:themeFill="background1" w:themeFillShade="D9"/>
            <w:vAlign w:val="center"/>
          </w:tcPr>
          <w:p w14:paraId="62658E9E"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Semester One</w:t>
            </w:r>
          </w:p>
        </w:tc>
        <w:tc>
          <w:tcPr>
            <w:tcW w:w="1710" w:type="dxa"/>
            <w:shd w:val="clear" w:color="auto" w:fill="D9D9D9" w:themeFill="background1" w:themeFillShade="D9"/>
            <w:vAlign w:val="center"/>
          </w:tcPr>
          <w:p w14:paraId="6D1D2780" w14:textId="77777777" w:rsidR="005B5EF4" w:rsidRPr="009A66F5" w:rsidRDefault="005B5EF4" w:rsidP="00B5565D">
            <w:pPr>
              <w:jc w:val="cente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16 Credits</w:t>
            </w:r>
          </w:p>
        </w:tc>
        <w:tc>
          <w:tcPr>
            <w:tcW w:w="3865" w:type="dxa"/>
            <w:shd w:val="clear" w:color="auto" w:fill="D9D9D9" w:themeFill="background1" w:themeFillShade="D9"/>
            <w:vAlign w:val="center"/>
          </w:tcPr>
          <w:p w14:paraId="12814D1E"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KSU Equivalent</w:t>
            </w:r>
          </w:p>
        </w:tc>
      </w:tr>
      <w:tr w:rsidR="005B5EF4" w:rsidRPr="00EE114A" w14:paraId="2CDBFF9B" w14:textId="77777777" w:rsidTr="009A66F5">
        <w:trPr>
          <w:cantSplit/>
          <w:trHeight w:val="235"/>
        </w:trPr>
        <w:tc>
          <w:tcPr>
            <w:tcW w:w="3870" w:type="dxa"/>
            <w:vAlign w:val="center"/>
          </w:tcPr>
          <w:p w14:paraId="6FB74170"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CSS 106 Succeeding in College</w:t>
            </w:r>
          </w:p>
        </w:tc>
        <w:tc>
          <w:tcPr>
            <w:tcW w:w="1710" w:type="dxa"/>
            <w:shd w:val="clear" w:color="auto" w:fill="auto"/>
            <w:vAlign w:val="center"/>
          </w:tcPr>
          <w:p w14:paraId="645663F1"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1</w:t>
            </w:r>
          </w:p>
        </w:tc>
        <w:tc>
          <w:tcPr>
            <w:tcW w:w="3865" w:type="dxa"/>
            <w:vAlign w:val="center"/>
          </w:tcPr>
          <w:p w14:paraId="6144F0F0" w14:textId="49F3B284"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 xml:space="preserve">TRAN 1X000 </w:t>
            </w:r>
          </w:p>
        </w:tc>
      </w:tr>
      <w:tr w:rsidR="005B5EF4" w:rsidRPr="00EE114A" w14:paraId="12CAFA68" w14:textId="77777777" w:rsidTr="009A66F5">
        <w:trPr>
          <w:cantSplit/>
          <w:trHeight w:val="250"/>
        </w:trPr>
        <w:tc>
          <w:tcPr>
            <w:tcW w:w="3870" w:type="dxa"/>
            <w:vAlign w:val="center"/>
          </w:tcPr>
          <w:p w14:paraId="0EE99DAD"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BUS 101 Introduction to Business</w:t>
            </w:r>
          </w:p>
        </w:tc>
        <w:tc>
          <w:tcPr>
            <w:tcW w:w="1710" w:type="dxa"/>
            <w:shd w:val="clear" w:color="auto" w:fill="auto"/>
            <w:vAlign w:val="center"/>
          </w:tcPr>
          <w:p w14:paraId="3352AA73"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0561C4E3"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bCs/>
                <w:color w:val="1F3864" w:themeColor="accent1" w:themeShade="80"/>
                <w:sz w:val="20"/>
                <w:szCs w:val="20"/>
              </w:rPr>
              <w:t>BMRT 11000</w:t>
            </w:r>
          </w:p>
        </w:tc>
      </w:tr>
      <w:tr w:rsidR="005B5EF4" w:rsidRPr="00EE114A" w14:paraId="2ACF43AB" w14:textId="77777777" w:rsidTr="009A66F5">
        <w:trPr>
          <w:cantSplit/>
          <w:trHeight w:val="250"/>
        </w:trPr>
        <w:tc>
          <w:tcPr>
            <w:tcW w:w="3870" w:type="dxa"/>
            <w:vAlign w:val="center"/>
          </w:tcPr>
          <w:p w14:paraId="0FF51544"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CIS 101 Personal Computer Applications</w:t>
            </w:r>
          </w:p>
        </w:tc>
        <w:tc>
          <w:tcPr>
            <w:tcW w:w="1710" w:type="dxa"/>
            <w:shd w:val="clear" w:color="auto" w:fill="auto"/>
            <w:vAlign w:val="center"/>
          </w:tcPr>
          <w:p w14:paraId="483D8EFF"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7CA39670"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CIS 24053</w:t>
            </w:r>
          </w:p>
        </w:tc>
      </w:tr>
      <w:tr w:rsidR="005B5EF4" w:rsidRPr="00EE114A" w14:paraId="0A947DB7" w14:textId="77777777" w:rsidTr="009A66F5">
        <w:trPr>
          <w:cantSplit/>
          <w:trHeight w:val="235"/>
        </w:trPr>
        <w:tc>
          <w:tcPr>
            <w:tcW w:w="3870" w:type="dxa"/>
            <w:vAlign w:val="center"/>
          </w:tcPr>
          <w:p w14:paraId="6C63D00F"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ECO 102 Microeconomics</w:t>
            </w:r>
          </w:p>
        </w:tc>
        <w:tc>
          <w:tcPr>
            <w:tcW w:w="1710" w:type="dxa"/>
            <w:shd w:val="clear" w:color="auto" w:fill="auto"/>
            <w:vAlign w:val="center"/>
          </w:tcPr>
          <w:p w14:paraId="4C31C097"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2BB6457C" w14:textId="2A3D5363"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ECON 22060 (KSS)</w:t>
            </w:r>
          </w:p>
        </w:tc>
      </w:tr>
      <w:tr w:rsidR="005B5EF4" w:rsidRPr="00EE114A" w14:paraId="78ACA651" w14:textId="77777777" w:rsidTr="009A66F5">
        <w:trPr>
          <w:cantSplit/>
          <w:trHeight w:val="250"/>
        </w:trPr>
        <w:tc>
          <w:tcPr>
            <w:tcW w:w="3870" w:type="dxa"/>
            <w:vAlign w:val="center"/>
          </w:tcPr>
          <w:p w14:paraId="7DA79CE2"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ENG 101 English Composition 1</w:t>
            </w:r>
          </w:p>
        </w:tc>
        <w:tc>
          <w:tcPr>
            <w:tcW w:w="1710" w:type="dxa"/>
            <w:shd w:val="clear" w:color="auto" w:fill="auto"/>
            <w:vAlign w:val="center"/>
          </w:tcPr>
          <w:p w14:paraId="223A8E47" w14:textId="77777777" w:rsidR="005B5EF4" w:rsidRPr="009A66F5" w:rsidRDefault="005B5EF4" w:rsidP="00B5565D">
            <w:pPr>
              <w:jc w:val="cente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3</w:t>
            </w:r>
          </w:p>
        </w:tc>
        <w:tc>
          <w:tcPr>
            <w:tcW w:w="3865" w:type="dxa"/>
            <w:vAlign w:val="center"/>
          </w:tcPr>
          <w:p w14:paraId="3B70FD27" w14:textId="03735C2E" w:rsidR="005B5EF4" w:rsidRPr="009A66F5" w:rsidRDefault="005B5EF4" w:rsidP="00B5565D">
            <w:pPr>
              <w:rPr>
                <w:rFonts w:ascii="National Book" w:hAnsi="National Book" w:cstheme="minorHAnsi"/>
                <w:bCs/>
                <w:color w:val="1F3864" w:themeColor="accent1" w:themeShade="80"/>
                <w:sz w:val="20"/>
                <w:szCs w:val="20"/>
              </w:rPr>
            </w:pPr>
            <w:r w:rsidRPr="009A66F5">
              <w:rPr>
                <w:rFonts w:ascii="National Book" w:hAnsi="National Book" w:cstheme="minorHAnsi"/>
                <w:color w:val="1F3864" w:themeColor="accent1" w:themeShade="80"/>
                <w:sz w:val="20"/>
                <w:szCs w:val="20"/>
              </w:rPr>
              <w:t>ENG 11011 (KCP1)</w:t>
            </w:r>
          </w:p>
        </w:tc>
      </w:tr>
      <w:tr w:rsidR="005B5EF4" w:rsidRPr="00EE114A" w14:paraId="00021BF2" w14:textId="77777777" w:rsidTr="009A66F5">
        <w:trPr>
          <w:cantSplit/>
          <w:trHeight w:val="250"/>
        </w:trPr>
        <w:tc>
          <w:tcPr>
            <w:tcW w:w="3870" w:type="dxa"/>
            <w:vAlign w:val="center"/>
          </w:tcPr>
          <w:p w14:paraId="127579E0"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BUS/MGT Elective</w:t>
            </w:r>
          </w:p>
        </w:tc>
        <w:tc>
          <w:tcPr>
            <w:tcW w:w="1710" w:type="dxa"/>
            <w:shd w:val="clear" w:color="auto" w:fill="auto"/>
            <w:vAlign w:val="center"/>
          </w:tcPr>
          <w:p w14:paraId="3FD13102" w14:textId="77777777" w:rsidR="005B5EF4" w:rsidRPr="009A66F5" w:rsidRDefault="005B5EF4" w:rsidP="00B5565D">
            <w:pPr>
              <w:jc w:val="cente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3</w:t>
            </w:r>
          </w:p>
        </w:tc>
        <w:tc>
          <w:tcPr>
            <w:tcW w:w="3865" w:type="dxa"/>
            <w:vAlign w:val="center"/>
          </w:tcPr>
          <w:p w14:paraId="57520120" w14:textId="77777777" w:rsidR="005B5EF4" w:rsidRPr="009A66F5" w:rsidRDefault="005B5EF4" w:rsidP="00B5565D">
            <w:pP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Elective</w:t>
            </w:r>
          </w:p>
        </w:tc>
      </w:tr>
      <w:tr w:rsidR="005B5EF4" w:rsidRPr="00EE114A" w14:paraId="19AA1D97" w14:textId="77777777" w:rsidTr="009A66F5">
        <w:trPr>
          <w:cantSplit/>
          <w:trHeight w:val="250"/>
        </w:trPr>
        <w:tc>
          <w:tcPr>
            <w:tcW w:w="3870" w:type="dxa"/>
            <w:shd w:val="clear" w:color="auto" w:fill="D9D9D9" w:themeFill="background1" w:themeFillShade="D9"/>
            <w:vAlign w:val="center"/>
          </w:tcPr>
          <w:p w14:paraId="159FE302"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 xml:space="preserve">Semester Two </w:t>
            </w:r>
          </w:p>
        </w:tc>
        <w:tc>
          <w:tcPr>
            <w:tcW w:w="1710" w:type="dxa"/>
            <w:shd w:val="clear" w:color="auto" w:fill="D9D9D9" w:themeFill="background1" w:themeFillShade="D9"/>
            <w:vAlign w:val="center"/>
          </w:tcPr>
          <w:p w14:paraId="31D489C9" w14:textId="77777777" w:rsidR="005B5EF4" w:rsidRPr="009A66F5" w:rsidRDefault="005B5EF4" w:rsidP="00B5565D">
            <w:pPr>
              <w:jc w:val="cente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15 Credits</w:t>
            </w:r>
          </w:p>
        </w:tc>
        <w:tc>
          <w:tcPr>
            <w:tcW w:w="3865" w:type="dxa"/>
            <w:shd w:val="clear" w:color="auto" w:fill="D9D9D9" w:themeFill="background1" w:themeFillShade="D9"/>
            <w:vAlign w:val="center"/>
          </w:tcPr>
          <w:p w14:paraId="41B6B77D"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KSU Equivalent</w:t>
            </w:r>
          </w:p>
        </w:tc>
      </w:tr>
      <w:tr w:rsidR="005B5EF4" w:rsidRPr="00EE114A" w14:paraId="448B12A1" w14:textId="77777777" w:rsidTr="009A66F5">
        <w:trPr>
          <w:cantSplit/>
          <w:trHeight w:val="250"/>
        </w:trPr>
        <w:tc>
          <w:tcPr>
            <w:tcW w:w="3870" w:type="dxa"/>
            <w:vAlign w:val="center"/>
          </w:tcPr>
          <w:p w14:paraId="2E3DE1E7"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ACC 111 Financial Accounting 1</w:t>
            </w:r>
          </w:p>
        </w:tc>
        <w:tc>
          <w:tcPr>
            <w:tcW w:w="1710" w:type="dxa"/>
            <w:shd w:val="clear" w:color="auto" w:fill="auto"/>
            <w:vAlign w:val="center"/>
          </w:tcPr>
          <w:p w14:paraId="17102FAA" w14:textId="77777777" w:rsidR="005B5EF4" w:rsidRPr="009A66F5" w:rsidRDefault="005B5EF4" w:rsidP="00B5565D">
            <w:pPr>
              <w:tabs>
                <w:tab w:val="left" w:pos="720"/>
              </w:tabs>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630150F1" w14:textId="77777777" w:rsidR="005B5EF4" w:rsidRPr="009A66F5" w:rsidRDefault="005B5EF4" w:rsidP="00B5565D">
            <w:pPr>
              <w:tabs>
                <w:tab w:val="left" w:pos="720"/>
              </w:tabs>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ACCT 23020</w:t>
            </w:r>
          </w:p>
        </w:tc>
      </w:tr>
      <w:tr w:rsidR="005B5EF4" w:rsidRPr="00EE114A" w14:paraId="668CC4B0" w14:textId="77777777" w:rsidTr="009A66F5">
        <w:trPr>
          <w:cantSplit/>
          <w:trHeight w:val="235"/>
        </w:trPr>
        <w:tc>
          <w:tcPr>
            <w:tcW w:w="3870" w:type="dxa"/>
            <w:vAlign w:val="center"/>
          </w:tcPr>
          <w:p w14:paraId="2656859A"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BUS 201 Principles of Marketing</w:t>
            </w:r>
          </w:p>
        </w:tc>
        <w:tc>
          <w:tcPr>
            <w:tcW w:w="1710" w:type="dxa"/>
            <w:shd w:val="clear" w:color="auto" w:fill="auto"/>
            <w:vAlign w:val="center"/>
          </w:tcPr>
          <w:p w14:paraId="605039FD" w14:textId="77777777" w:rsidR="005B5EF4" w:rsidRPr="009A66F5" w:rsidRDefault="005B5EF4" w:rsidP="00B5565D">
            <w:pPr>
              <w:tabs>
                <w:tab w:val="left" w:pos="720"/>
              </w:tabs>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00CD7EF9" w14:textId="77777777" w:rsidR="005B5EF4" w:rsidRPr="009A66F5" w:rsidRDefault="005B5EF4" w:rsidP="00B5565D">
            <w:pPr>
              <w:tabs>
                <w:tab w:val="left" w:pos="720"/>
              </w:tabs>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MKTG 25010</w:t>
            </w:r>
          </w:p>
        </w:tc>
      </w:tr>
      <w:tr w:rsidR="005B5EF4" w:rsidRPr="00EE114A" w14:paraId="33FEB956" w14:textId="77777777" w:rsidTr="009A66F5">
        <w:trPr>
          <w:cantSplit/>
          <w:trHeight w:val="250"/>
        </w:trPr>
        <w:tc>
          <w:tcPr>
            <w:tcW w:w="3870" w:type="dxa"/>
            <w:vAlign w:val="center"/>
          </w:tcPr>
          <w:p w14:paraId="4162708D"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MGT 201 Principles of Management</w:t>
            </w:r>
          </w:p>
        </w:tc>
        <w:tc>
          <w:tcPr>
            <w:tcW w:w="1710" w:type="dxa"/>
            <w:shd w:val="clear" w:color="auto" w:fill="auto"/>
            <w:vAlign w:val="center"/>
          </w:tcPr>
          <w:p w14:paraId="7884A3A4" w14:textId="77777777" w:rsidR="005B5EF4" w:rsidRPr="009A66F5" w:rsidRDefault="005B5EF4" w:rsidP="00B5565D">
            <w:pPr>
              <w:tabs>
                <w:tab w:val="left" w:pos="720"/>
              </w:tabs>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1386C34A" w14:textId="25144C05" w:rsidR="005B5EF4" w:rsidRPr="009A66F5" w:rsidRDefault="005B5EF4" w:rsidP="00B5565D">
            <w:pPr>
              <w:tabs>
                <w:tab w:val="left" w:pos="720"/>
              </w:tabs>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MGMT 24163</w:t>
            </w:r>
            <w:r w:rsidR="00990859" w:rsidRPr="009A66F5">
              <w:rPr>
                <w:rFonts w:ascii="National Book" w:hAnsi="National Book" w:cstheme="minorHAnsi"/>
                <w:color w:val="1F3864" w:themeColor="accent1" w:themeShade="80"/>
                <w:sz w:val="20"/>
                <w:szCs w:val="20"/>
              </w:rPr>
              <w:t>/BMRT 11009</w:t>
            </w:r>
            <w:r w:rsidRPr="009A66F5">
              <w:rPr>
                <w:rFonts w:ascii="National Book" w:hAnsi="National Book" w:cstheme="minorHAnsi"/>
                <w:color w:val="1F3864" w:themeColor="accent1" w:themeShade="80"/>
                <w:sz w:val="20"/>
                <w:szCs w:val="20"/>
              </w:rPr>
              <w:t xml:space="preserve"> </w:t>
            </w:r>
          </w:p>
        </w:tc>
      </w:tr>
      <w:tr w:rsidR="005B5EF4" w:rsidRPr="00EE114A" w14:paraId="48AF44E3" w14:textId="77777777" w:rsidTr="009A66F5">
        <w:trPr>
          <w:cantSplit/>
          <w:trHeight w:val="250"/>
        </w:trPr>
        <w:tc>
          <w:tcPr>
            <w:tcW w:w="3870" w:type="dxa"/>
            <w:vAlign w:val="center"/>
          </w:tcPr>
          <w:p w14:paraId="4E18EEB5"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PSC 101 American Government</w:t>
            </w:r>
          </w:p>
        </w:tc>
        <w:tc>
          <w:tcPr>
            <w:tcW w:w="1710" w:type="dxa"/>
            <w:shd w:val="clear" w:color="auto" w:fill="auto"/>
            <w:vAlign w:val="center"/>
          </w:tcPr>
          <w:p w14:paraId="2D8A871F" w14:textId="77777777" w:rsidR="005B5EF4" w:rsidRPr="009A66F5" w:rsidRDefault="005B5EF4" w:rsidP="00B5565D">
            <w:pPr>
              <w:tabs>
                <w:tab w:val="left" w:pos="720"/>
              </w:tabs>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366E8348" w14:textId="7BA4156B" w:rsidR="005B5EF4" w:rsidRPr="009A66F5" w:rsidRDefault="005B5EF4" w:rsidP="00B5565D">
            <w:pPr>
              <w:tabs>
                <w:tab w:val="left" w:pos="720"/>
              </w:tabs>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POL 10100 (KSS) (DIVD)</w:t>
            </w:r>
          </w:p>
        </w:tc>
      </w:tr>
      <w:tr w:rsidR="005B5EF4" w:rsidRPr="00EE114A" w14:paraId="2A6F1E97" w14:textId="77777777" w:rsidTr="009A66F5">
        <w:trPr>
          <w:cantSplit/>
          <w:trHeight w:val="248"/>
        </w:trPr>
        <w:tc>
          <w:tcPr>
            <w:tcW w:w="3870" w:type="dxa"/>
            <w:vAlign w:val="center"/>
          </w:tcPr>
          <w:p w14:paraId="06F2893E"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BUS 221 Business Ethics</w:t>
            </w:r>
          </w:p>
        </w:tc>
        <w:tc>
          <w:tcPr>
            <w:tcW w:w="1710" w:type="dxa"/>
            <w:shd w:val="clear" w:color="auto" w:fill="auto"/>
            <w:vAlign w:val="center"/>
          </w:tcPr>
          <w:p w14:paraId="2187BBA9" w14:textId="77777777" w:rsidR="005B5EF4" w:rsidRPr="009A66F5" w:rsidRDefault="005B5EF4" w:rsidP="00B5565D">
            <w:pPr>
              <w:tabs>
                <w:tab w:val="left" w:pos="720"/>
              </w:tabs>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6F36F558" w14:textId="16B51C08" w:rsidR="005B5EF4" w:rsidRPr="009A66F5" w:rsidRDefault="005B5EF4" w:rsidP="00B5565D">
            <w:pPr>
              <w:tabs>
                <w:tab w:val="left" w:pos="720"/>
              </w:tabs>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 xml:space="preserve">BMRT 2X000 </w:t>
            </w:r>
          </w:p>
        </w:tc>
      </w:tr>
      <w:tr w:rsidR="005B5EF4" w:rsidRPr="00EE114A" w14:paraId="1373B788" w14:textId="77777777" w:rsidTr="009A66F5">
        <w:trPr>
          <w:cantSplit/>
          <w:trHeight w:val="235"/>
        </w:trPr>
        <w:tc>
          <w:tcPr>
            <w:tcW w:w="3870" w:type="dxa"/>
            <w:shd w:val="clear" w:color="auto" w:fill="D9D9D9" w:themeFill="background1" w:themeFillShade="D9"/>
            <w:vAlign w:val="center"/>
          </w:tcPr>
          <w:p w14:paraId="49E3B12E"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 xml:space="preserve">Semester Three </w:t>
            </w:r>
          </w:p>
        </w:tc>
        <w:tc>
          <w:tcPr>
            <w:tcW w:w="1710" w:type="dxa"/>
            <w:shd w:val="clear" w:color="auto" w:fill="D9D9D9" w:themeFill="background1" w:themeFillShade="D9"/>
            <w:vAlign w:val="center"/>
          </w:tcPr>
          <w:p w14:paraId="3F111C09" w14:textId="77777777" w:rsidR="005B5EF4" w:rsidRPr="009A66F5" w:rsidRDefault="005B5EF4" w:rsidP="00B5565D">
            <w:pPr>
              <w:jc w:val="cente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15 Credits</w:t>
            </w:r>
          </w:p>
        </w:tc>
        <w:tc>
          <w:tcPr>
            <w:tcW w:w="3865" w:type="dxa"/>
            <w:shd w:val="clear" w:color="auto" w:fill="D9D9D9" w:themeFill="background1" w:themeFillShade="D9"/>
            <w:vAlign w:val="center"/>
          </w:tcPr>
          <w:p w14:paraId="0E6D5572"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KSU Equivalent</w:t>
            </w:r>
          </w:p>
        </w:tc>
      </w:tr>
      <w:tr w:rsidR="005B5EF4" w:rsidRPr="00EE114A" w14:paraId="4FF5DAFF" w14:textId="77777777" w:rsidTr="009A66F5">
        <w:trPr>
          <w:cantSplit/>
          <w:trHeight w:val="250"/>
        </w:trPr>
        <w:tc>
          <w:tcPr>
            <w:tcW w:w="3870" w:type="dxa"/>
            <w:vAlign w:val="center"/>
          </w:tcPr>
          <w:p w14:paraId="595489F6" w14:textId="77777777" w:rsidR="005B5EF4" w:rsidRPr="009A66F5" w:rsidRDefault="005B5EF4" w:rsidP="00B5565D">
            <w:pP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MGT 210 Leadership Development and Team Building</w:t>
            </w:r>
          </w:p>
        </w:tc>
        <w:tc>
          <w:tcPr>
            <w:tcW w:w="1710" w:type="dxa"/>
            <w:vAlign w:val="center"/>
          </w:tcPr>
          <w:p w14:paraId="1B3D8CFE"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2356B1F5" w14:textId="3D012BEF"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 xml:space="preserve">BMRT 2X000 </w:t>
            </w:r>
          </w:p>
        </w:tc>
      </w:tr>
      <w:tr w:rsidR="005B5EF4" w:rsidRPr="00EE114A" w14:paraId="3F705C06" w14:textId="77777777" w:rsidTr="009A66F5">
        <w:trPr>
          <w:cantSplit/>
          <w:trHeight w:val="250"/>
        </w:trPr>
        <w:tc>
          <w:tcPr>
            <w:tcW w:w="3870" w:type="dxa"/>
            <w:vAlign w:val="center"/>
          </w:tcPr>
          <w:p w14:paraId="25DF3E0F" w14:textId="77777777" w:rsidR="005B5EF4" w:rsidRPr="009A66F5" w:rsidRDefault="005B5EF4" w:rsidP="00B5565D">
            <w:pP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COM 101 Public Speaking</w:t>
            </w:r>
          </w:p>
        </w:tc>
        <w:tc>
          <w:tcPr>
            <w:tcW w:w="1710" w:type="dxa"/>
            <w:vAlign w:val="center"/>
          </w:tcPr>
          <w:p w14:paraId="005C7BA0"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76FF691C" w14:textId="60D6995D"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COMM 15000 (KADL)</w:t>
            </w:r>
          </w:p>
        </w:tc>
      </w:tr>
      <w:tr w:rsidR="005B5EF4" w:rsidRPr="00EE114A" w14:paraId="51AFE415" w14:textId="77777777" w:rsidTr="009A66F5">
        <w:trPr>
          <w:cantSplit/>
          <w:trHeight w:val="235"/>
        </w:trPr>
        <w:tc>
          <w:tcPr>
            <w:tcW w:w="3870" w:type="dxa"/>
            <w:vAlign w:val="center"/>
          </w:tcPr>
          <w:p w14:paraId="548715FD" w14:textId="77777777" w:rsidR="005B5EF4" w:rsidRPr="009A66F5" w:rsidRDefault="005B5EF4" w:rsidP="00B5565D">
            <w:pP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ENG 103 Business Communications</w:t>
            </w:r>
          </w:p>
        </w:tc>
        <w:tc>
          <w:tcPr>
            <w:tcW w:w="1710" w:type="dxa"/>
            <w:vAlign w:val="center"/>
          </w:tcPr>
          <w:p w14:paraId="5D637382"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4B5331F2" w14:textId="70FF3F2C"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 xml:space="preserve">ENG 30063 </w:t>
            </w:r>
          </w:p>
        </w:tc>
      </w:tr>
      <w:tr w:rsidR="005B5EF4" w:rsidRPr="00EE114A" w14:paraId="1B1BBD80" w14:textId="77777777" w:rsidTr="009A66F5">
        <w:trPr>
          <w:cantSplit/>
          <w:trHeight w:val="250"/>
        </w:trPr>
        <w:tc>
          <w:tcPr>
            <w:tcW w:w="3870" w:type="dxa"/>
            <w:vAlign w:val="center"/>
          </w:tcPr>
          <w:p w14:paraId="63CDEB4B" w14:textId="77777777" w:rsidR="005B5EF4" w:rsidRPr="009A66F5" w:rsidRDefault="005B5EF4" w:rsidP="00B5565D">
            <w:pP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MGT 202 Organizational Behavior</w:t>
            </w:r>
          </w:p>
        </w:tc>
        <w:tc>
          <w:tcPr>
            <w:tcW w:w="1710" w:type="dxa"/>
            <w:vAlign w:val="center"/>
          </w:tcPr>
          <w:p w14:paraId="6DC88B23"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418EB753" w14:textId="0B27628A"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 xml:space="preserve">BMRT 2X000 </w:t>
            </w:r>
          </w:p>
        </w:tc>
      </w:tr>
      <w:tr w:rsidR="005B5EF4" w:rsidRPr="00EE114A" w14:paraId="462E332A" w14:textId="77777777" w:rsidTr="009A66F5">
        <w:trPr>
          <w:cantSplit/>
          <w:trHeight w:val="235"/>
        </w:trPr>
        <w:tc>
          <w:tcPr>
            <w:tcW w:w="3870" w:type="dxa"/>
            <w:vAlign w:val="center"/>
          </w:tcPr>
          <w:p w14:paraId="1241A2E2" w14:textId="77777777" w:rsidR="005B5EF4" w:rsidRPr="009A66F5" w:rsidRDefault="005B5EF4" w:rsidP="00B5565D">
            <w:pPr>
              <w:rPr>
                <w:rFonts w:ascii="National Book" w:hAnsi="National Book" w:cstheme="minorHAnsi"/>
                <w:bCs/>
                <w:color w:val="1F3864" w:themeColor="accent1" w:themeShade="80"/>
                <w:sz w:val="20"/>
                <w:szCs w:val="20"/>
              </w:rPr>
            </w:pPr>
            <w:r w:rsidRPr="009A66F5">
              <w:rPr>
                <w:rFonts w:ascii="National Book" w:hAnsi="National Book" w:cstheme="minorHAnsi"/>
                <w:bCs/>
                <w:color w:val="1F3864" w:themeColor="accent1" w:themeShade="80"/>
                <w:sz w:val="20"/>
                <w:szCs w:val="20"/>
              </w:rPr>
              <w:t>PSY 101 General Psychology</w:t>
            </w:r>
          </w:p>
        </w:tc>
        <w:tc>
          <w:tcPr>
            <w:tcW w:w="1710" w:type="dxa"/>
            <w:vAlign w:val="center"/>
          </w:tcPr>
          <w:p w14:paraId="7B12613C" w14:textId="77777777" w:rsidR="005B5EF4" w:rsidRPr="009A66F5" w:rsidRDefault="005B5EF4" w:rsidP="00B5565D">
            <w:pPr>
              <w:jc w:val="cente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3</w:t>
            </w:r>
          </w:p>
        </w:tc>
        <w:tc>
          <w:tcPr>
            <w:tcW w:w="3865" w:type="dxa"/>
            <w:vAlign w:val="center"/>
          </w:tcPr>
          <w:p w14:paraId="0B29304A" w14:textId="24ECB63F"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PSYC 11762 (KSS) (DIVD)</w:t>
            </w:r>
          </w:p>
        </w:tc>
      </w:tr>
      <w:tr w:rsidR="005B5EF4" w:rsidRPr="00EE114A" w14:paraId="25E72E9A" w14:textId="77777777" w:rsidTr="009A66F5">
        <w:trPr>
          <w:cantSplit/>
          <w:trHeight w:val="250"/>
        </w:trPr>
        <w:tc>
          <w:tcPr>
            <w:tcW w:w="3870" w:type="dxa"/>
            <w:shd w:val="clear" w:color="auto" w:fill="D9D9D9" w:themeFill="background1" w:themeFillShade="D9"/>
            <w:vAlign w:val="center"/>
          </w:tcPr>
          <w:p w14:paraId="1778DF0D"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 xml:space="preserve">Semester Four </w:t>
            </w:r>
          </w:p>
        </w:tc>
        <w:tc>
          <w:tcPr>
            <w:tcW w:w="1710" w:type="dxa"/>
            <w:shd w:val="clear" w:color="auto" w:fill="D9D9D9" w:themeFill="background1" w:themeFillShade="D9"/>
            <w:vAlign w:val="center"/>
          </w:tcPr>
          <w:p w14:paraId="1311BC9C" w14:textId="77777777" w:rsidR="005B5EF4" w:rsidRPr="009A66F5" w:rsidRDefault="005B5EF4" w:rsidP="00B5565D">
            <w:pPr>
              <w:jc w:val="cente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15 Credits</w:t>
            </w:r>
          </w:p>
        </w:tc>
        <w:tc>
          <w:tcPr>
            <w:tcW w:w="3865" w:type="dxa"/>
            <w:shd w:val="clear" w:color="auto" w:fill="D9D9D9" w:themeFill="background1" w:themeFillShade="D9"/>
            <w:vAlign w:val="center"/>
          </w:tcPr>
          <w:p w14:paraId="2A7D59B5" w14:textId="77777777" w:rsidR="005B5EF4" w:rsidRPr="009A66F5" w:rsidRDefault="005B5EF4" w:rsidP="00B5565D">
            <w:pPr>
              <w:rPr>
                <w:rFonts w:ascii="National Book" w:hAnsi="National Book"/>
                <w:b/>
                <w:color w:val="1F3864" w:themeColor="accent1" w:themeShade="80"/>
                <w:sz w:val="20"/>
                <w:szCs w:val="20"/>
              </w:rPr>
            </w:pPr>
            <w:r w:rsidRPr="009A66F5">
              <w:rPr>
                <w:rFonts w:ascii="National Book" w:hAnsi="National Book"/>
                <w:b/>
                <w:color w:val="1F3864" w:themeColor="accent1" w:themeShade="80"/>
                <w:sz w:val="20"/>
                <w:szCs w:val="20"/>
              </w:rPr>
              <w:t>KSU Equivalent</w:t>
            </w:r>
          </w:p>
        </w:tc>
      </w:tr>
      <w:tr w:rsidR="005B5EF4" w:rsidRPr="00EE114A" w14:paraId="7383663A" w14:textId="77777777" w:rsidTr="009A66F5">
        <w:trPr>
          <w:cantSplit/>
          <w:trHeight w:val="250"/>
        </w:trPr>
        <w:tc>
          <w:tcPr>
            <w:tcW w:w="3870" w:type="dxa"/>
            <w:shd w:val="clear" w:color="auto" w:fill="auto"/>
          </w:tcPr>
          <w:p w14:paraId="30F3861D" w14:textId="77777777" w:rsidR="005B5EF4" w:rsidRPr="009A66F5" w:rsidRDefault="005B5EF4" w:rsidP="00B5565D">
            <w:pPr>
              <w:rPr>
                <w:rFonts w:ascii="National Regular" w:hAnsi="National Regular" w:cstheme="minorHAnsi"/>
                <w:bCs/>
                <w:color w:val="1F3864" w:themeColor="accent1" w:themeShade="80"/>
                <w:sz w:val="20"/>
                <w:szCs w:val="20"/>
              </w:rPr>
            </w:pPr>
            <w:r w:rsidRPr="009A66F5">
              <w:rPr>
                <w:rFonts w:ascii="National Regular" w:hAnsi="National Regular" w:cstheme="minorHAnsi"/>
                <w:bCs/>
                <w:color w:val="1F3864" w:themeColor="accent1" w:themeShade="80"/>
                <w:sz w:val="20"/>
                <w:szCs w:val="20"/>
              </w:rPr>
              <w:t>MGT 206 Capstone</w:t>
            </w:r>
          </w:p>
        </w:tc>
        <w:tc>
          <w:tcPr>
            <w:tcW w:w="1710" w:type="dxa"/>
            <w:shd w:val="clear" w:color="auto" w:fill="auto"/>
            <w:vAlign w:val="center"/>
          </w:tcPr>
          <w:p w14:paraId="096CDAE8" w14:textId="77777777" w:rsidR="005B5EF4" w:rsidRPr="009A66F5" w:rsidRDefault="005B5EF4" w:rsidP="00B5565D">
            <w:pPr>
              <w:jc w:val="center"/>
              <w:rPr>
                <w:rFonts w:ascii="National Regular" w:hAnsi="National Regular" w:cstheme="minorHAnsi"/>
                <w:color w:val="1F3864" w:themeColor="accent1" w:themeShade="80"/>
                <w:sz w:val="20"/>
                <w:szCs w:val="20"/>
              </w:rPr>
            </w:pPr>
            <w:r w:rsidRPr="009A66F5">
              <w:rPr>
                <w:rFonts w:ascii="National Regular" w:hAnsi="National Regular" w:cstheme="minorHAnsi"/>
                <w:color w:val="1F3864" w:themeColor="accent1" w:themeShade="80"/>
                <w:sz w:val="20"/>
                <w:szCs w:val="20"/>
              </w:rPr>
              <w:t>3</w:t>
            </w:r>
          </w:p>
        </w:tc>
        <w:tc>
          <w:tcPr>
            <w:tcW w:w="3865" w:type="dxa"/>
            <w:vAlign w:val="center"/>
          </w:tcPr>
          <w:p w14:paraId="3016BDFD"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UC 10162</w:t>
            </w:r>
          </w:p>
        </w:tc>
      </w:tr>
      <w:tr w:rsidR="005B5EF4" w:rsidRPr="00EE114A" w14:paraId="74FE9062" w14:textId="77777777" w:rsidTr="009A66F5">
        <w:trPr>
          <w:cantSplit/>
          <w:trHeight w:val="235"/>
        </w:trPr>
        <w:tc>
          <w:tcPr>
            <w:tcW w:w="3870" w:type="dxa"/>
            <w:shd w:val="clear" w:color="auto" w:fill="auto"/>
          </w:tcPr>
          <w:p w14:paraId="12F5BEAD" w14:textId="77777777" w:rsidR="005B5EF4" w:rsidRPr="009A66F5" w:rsidRDefault="005B5EF4" w:rsidP="00B5565D">
            <w:pPr>
              <w:rPr>
                <w:rFonts w:ascii="National Regular" w:hAnsi="National Regular" w:cstheme="minorHAnsi"/>
                <w:bCs/>
                <w:color w:val="1F3864" w:themeColor="accent1" w:themeShade="80"/>
                <w:sz w:val="20"/>
                <w:szCs w:val="20"/>
              </w:rPr>
            </w:pPr>
            <w:r w:rsidRPr="009A66F5">
              <w:rPr>
                <w:rFonts w:ascii="National Regular" w:hAnsi="National Regular" w:cstheme="minorHAnsi"/>
                <w:bCs/>
                <w:color w:val="1F3864" w:themeColor="accent1" w:themeShade="80"/>
                <w:sz w:val="20"/>
                <w:szCs w:val="20"/>
              </w:rPr>
              <w:t>MGT 208 Human Resources Management</w:t>
            </w:r>
          </w:p>
        </w:tc>
        <w:tc>
          <w:tcPr>
            <w:tcW w:w="1710" w:type="dxa"/>
            <w:shd w:val="clear" w:color="auto" w:fill="auto"/>
            <w:vAlign w:val="center"/>
          </w:tcPr>
          <w:p w14:paraId="78A0B335" w14:textId="77777777" w:rsidR="005B5EF4" w:rsidRPr="009A66F5" w:rsidRDefault="005B5EF4" w:rsidP="00B5565D">
            <w:pPr>
              <w:jc w:val="center"/>
              <w:rPr>
                <w:rFonts w:ascii="National Regular" w:hAnsi="National Regular" w:cstheme="minorHAnsi"/>
                <w:color w:val="1F3864" w:themeColor="accent1" w:themeShade="80"/>
                <w:sz w:val="20"/>
                <w:szCs w:val="20"/>
              </w:rPr>
            </w:pPr>
            <w:r w:rsidRPr="009A66F5">
              <w:rPr>
                <w:rFonts w:ascii="National Regular" w:hAnsi="National Regular" w:cstheme="minorHAnsi"/>
                <w:color w:val="1F3864" w:themeColor="accent1" w:themeShade="80"/>
                <w:sz w:val="20"/>
                <w:szCs w:val="20"/>
              </w:rPr>
              <w:t>3</w:t>
            </w:r>
          </w:p>
        </w:tc>
        <w:tc>
          <w:tcPr>
            <w:tcW w:w="3865" w:type="dxa"/>
            <w:vAlign w:val="center"/>
          </w:tcPr>
          <w:p w14:paraId="4807F994" w14:textId="77777777"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BMRT 31006</w:t>
            </w:r>
          </w:p>
        </w:tc>
      </w:tr>
      <w:tr w:rsidR="005B5EF4" w:rsidRPr="00EE114A" w14:paraId="23855370" w14:textId="77777777" w:rsidTr="009A66F5">
        <w:trPr>
          <w:cantSplit/>
          <w:trHeight w:val="250"/>
        </w:trPr>
        <w:tc>
          <w:tcPr>
            <w:tcW w:w="3870" w:type="dxa"/>
            <w:shd w:val="clear" w:color="auto" w:fill="auto"/>
          </w:tcPr>
          <w:p w14:paraId="64F5F5D6" w14:textId="77777777" w:rsidR="005B5EF4" w:rsidRPr="009A66F5" w:rsidRDefault="005B5EF4" w:rsidP="00B5565D">
            <w:pPr>
              <w:rPr>
                <w:rFonts w:ascii="National Regular" w:hAnsi="National Regular" w:cstheme="minorHAnsi"/>
                <w:bCs/>
                <w:color w:val="1F3864" w:themeColor="accent1" w:themeShade="80"/>
                <w:sz w:val="20"/>
                <w:szCs w:val="20"/>
              </w:rPr>
            </w:pPr>
            <w:r w:rsidRPr="009A66F5">
              <w:rPr>
                <w:rFonts w:ascii="National Regular" w:hAnsi="National Regular" w:cstheme="minorHAnsi"/>
                <w:bCs/>
                <w:color w:val="1F3864" w:themeColor="accent1" w:themeShade="80"/>
                <w:sz w:val="20"/>
                <w:szCs w:val="20"/>
              </w:rPr>
              <w:t>MTH 120 College Algebra</w:t>
            </w:r>
          </w:p>
        </w:tc>
        <w:tc>
          <w:tcPr>
            <w:tcW w:w="1710" w:type="dxa"/>
            <w:shd w:val="clear" w:color="auto" w:fill="auto"/>
            <w:vAlign w:val="center"/>
          </w:tcPr>
          <w:p w14:paraId="4AE504DC" w14:textId="77777777" w:rsidR="005B5EF4" w:rsidRPr="009A66F5" w:rsidRDefault="005B5EF4" w:rsidP="00B5565D">
            <w:pPr>
              <w:jc w:val="center"/>
              <w:rPr>
                <w:rFonts w:ascii="National Regular" w:hAnsi="National Regular" w:cstheme="minorHAnsi"/>
                <w:color w:val="1F3864" w:themeColor="accent1" w:themeShade="80"/>
                <w:sz w:val="20"/>
                <w:szCs w:val="20"/>
              </w:rPr>
            </w:pPr>
            <w:r w:rsidRPr="009A66F5">
              <w:rPr>
                <w:rFonts w:ascii="National Regular" w:hAnsi="National Regular" w:cstheme="minorHAnsi"/>
                <w:color w:val="1F3864" w:themeColor="accent1" w:themeShade="80"/>
                <w:sz w:val="20"/>
                <w:szCs w:val="20"/>
              </w:rPr>
              <w:t>3</w:t>
            </w:r>
          </w:p>
        </w:tc>
        <w:tc>
          <w:tcPr>
            <w:tcW w:w="3865" w:type="dxa"/>
            <w:vAlign w:val="center"/>
          </w:tcPr>
          <w:p w14:paraId="4EF837E6" w14:textId="23C6696A" w:rsidR="005B5EF4" w:rsidRPr="009A66F5" w:rsidRDefault="005B5EF4"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MATH 11010 (KMCR)</w:t>
            </w:r>
          </w:p>
        </w:tc>
      </w:tr>
      <w:tr w:rsidR="005B5EF4" w:rsidRPr="00EE114A" w14:paraId="681364D7" w14:textId="77777777" w:rsidTr="009A66F5">
        <w:trPr>
          <w:cantSplit/>
          <w:trHeight w:val="235"/>
        </w:trPr>
        <w:tc>
          <w:tcPr>
            <w:tcW w:w="3870" w:type="dxa"/>
            <w:shd w:val="clear" w:color="auto" w:fill="auto"/>
          </w:tcPr>
          <w:p w14:paraId="4CDEC435" w14:textId="77777777" w:rsidR="005B5EF4" w:rsidRPr="009A66F5" w:rsidRDefault="005B5EF4" w:rsidP="00B5565D">
            <w:pPr>
              <w:rPr>
                <w:rFonts w:ascii="National Regular" w:hAnsi="National Regular" w:cstheme="minorHAnsi"/>
                <w:bCs/>
                <w:color w:val="1F3864" w:themeColor="accent1" w:themeShade="80"/>
                <w:sz w:val="20"/>
                <w:szCs w:val="20"/>
              </w:rPr>
            </w:pPr>
            <w:r w:rsidRPr="009A66F5">
              <w:rPr>
                <w:rFonts w:ascii="National Regular" w:hAnsi="National Regular" w:cstheme="minorHAnsi"/>
                <w:bCs/>
                <w:color w:val="1F3864" w:themeColor="accent1" w:themeShade="80"/>
                <w:sz w:val="20"/>
                <w:szCs w:val="20"/>
              </w:rPr>
              <w:t>BUS/MGT Elective</w:t>
            </w:r>
          </w:p>
        </w:tc>
        <w:tc>
          <w:tcPr>
            <w:tcW w:w="1710" w:type="dxa"/>
            <w:shd w:val="clear" w:color="auto" w:fill="auto"/>
            <w:vAlign w:val="center"/>
          </w:tcPr>
          <w:p w14:paraId="1919FAE6" w14:textId="77777777" w:rsidR="005B5EF4" w:rsidRPr="009A66F5" w:rsidRDefault="005B5EF4" w:rsidP="00B5565D">
            <w:pPr>
              <w:jc w:val="center"/>
              <w:rPr>
                <w:rFonts w:ascii="National Regular" w:hAnsi="National Regular" w:cstheme="minorHAnsi"/>
                <w:color w:val="1F3864" w:themeColor="accent1" w:themeShade="80"/>
                <w:sz w:val="20"/>
                <w:szCs w:val="20"/>
              </w:rPr>
            </w:pPr>
            <w:r w:rsidRPr="009A66F5">
              <w:rPr>
                <w:rFonts w:ascii="National Regular" w:hAnsi="National Regular" w:cstheme="minorHAnsi"/>
                <w:color w:val="1F3864" w:themeColor="accent1" w:themeShade="80"/>
                <w:sz w:val="20"/>
                <w:szCs w:val="20"/>
              </w:rPr>
              <w:t>3</w:t>
            </w:r>
          </w:p>
        </w:tc>
        <w:tc>
          <w:tcPr>
            <w:tcW w:w="3865" w:type="dxa"/>
            <w:vAlign w:val="center"/>
          </w:tcPr>
          <w:p w14:paraId="14BB14A3" w14:textId="363913FF" w:rsidR="005B5EF4" w:rsidRPr="009A66F5" w:rsidRDefault="00841560"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 xml:space="preserve">Consult the </w:t>
            </w:r>
            <w:hyperlink r:id="rId10" w:history="1">
              <w:r w:rsidRPr="009A66F5">
                <w:rPr>
                  <w:rStyle w:val="Hyperlink"/>
                  <w:rFonts w:ascii="National Book" w:hAnsi="National Book" w:cstheme="minorHAnsi"/>
                  <w:sz w:val="20"/>
                  <w:szCs w:val="20"/>
                </w:rPr>
                <w:t>Transfer Credit Guide</w:t>
              </w:r>
            </w:hyperlink>
          </w:p>
        </w:tc>
      </w:tr>
      <w:tr w:rsidR="005B5EF4" w:rsidRPr="00EE114A" w14:paraId="798E68F0" w14:textId="77777777" w:rsidTr="009A66F5">
        <w:trPr>
          <w:cantSplit/>
          <w:trHeight w:val="235"/>
        </w:trPr>
        <w:tc>
          <w:tcPr>
            <w:tcW w:w="3870" w:type="dxa"/>
            <w:shd w:val="clear" w:color="auto" w:fill="auto"/>
          </w:tcPr>
          <w:p w14:paraId="4B106BB7" w14:textId="77777777" w:rsidR="005B5EF4" w:rsidRPr="009A66F5" w:rsidRDefault="005B5EF4" w:rsidP="00B5565D">
            <w:pPr>
              <w:rPr>
                <w:rFonts w:ascii="National Regular" w:hAnsi="National Regular" w:cstheme="minorHAnsi"/>
                <w:bCs/>
                <w:color w:val="1F3864" w:themeColor="accent1" w:themeShade="80"/>
                <w:sz w:val="20"/>
                <w:szCs w:val="20"/>
              </w:rPr>
            </w:pPr>
            <w:r w:rsidRPr="009A66F5">
              <w:rPr>
                <w:rFonts w:ascii="National Regular" w:hAnsi="National Regular" w:cstheme="minorHAnsi"/>
                <w:bCs/>
                <w:color w:val="1F3864" w:themeColor="accent1" w:themeShade="80"/>
                <w:sz w:val="20"/>
                <w:szCs w:val="20"/>
              </w:rPr>
              <w:t>BUS/MGT Elective</w:t>
            </w:r>
          </w:p>
        </w:tc>
        <w:tc>
          <w:tcPr>
            <w:tcW w:w="1710" w:type="dxa"/>
            <w:shd w:val="clear" w:color="auto" w:fill="auto"/>
            <w:vAlign w:val="center"/>
          </w:tcPr>
          <w:p w14:paraId="50011CA1" w14:textId="77777777" w:rsidR="005B5EF4" w:rsidRPr="009A66F5" w:rsidRDefault="005B5EF4" w:rsidP="00B5565D">
            <w:pPr>
              <w:jc w:val="center"/>
              <w:rPr>
                <w:rFonts w:ascii="National Regular" w:hAnsi="National Regular" w:cstheme="minorHAnsi"/>
                <w:color w:val="1F3864" w:themeColor="accent1" w:themeShade="80"/>
                <w:sz w:val="20"/>
                <w:szCs w:val="20"/>
              </w:rPr>
            </w:pPr>
            <w:r w:rsidRPr="009A66F5">
              <w:rPr>
                <w:rFonts w:ascii="National Regular" w:hAnsi="National Regular" w:cstheme="minorHAnsi"/>
                <w:color w:val="1F3864" w:themeColor="accent1" w:themeShade="80"/>
                <w:sz w:val="20"/>
                <w:szCs w:val="20"/>
              </w:rPr>
              <w:t>3</w:t>
            </w:r>
          </w:p>
        </w:tc>
        <w:tc>
          <w:tcPr>
            <w:tcW w:w="3865" w:type="dxa"/>
            <w:vAlign w:val="center"/>
          </w:tcPr>
          <w:p w14:paraId="55B41B76" w14:textId="3E79B9D8" w:rsidR="005B5EF4" w:rsidRPr="009A66F5" w:rsidRDefault="00841560" w:rsidP="00B5565D">
            <w:pPr>
              <w:rPr>
                <w:rFonts w:ascii="National Book" w:hAnsi="National Book" w:cstheme="minorHAnsi"/>
                <w:color w:val="1F3864" w:themeColor="accent1" w:themeShade="80"/>
                <w:sz w:val="20"/>
                <w:szCs w:val="20"/>
              </w:rPr>
            </w:pPr>
            <w:r w:rsidRPr="009A66F5">
              <w:rPr>
                <w:rFonts w:ascii="National Book" w:hAnsi="National Book" w:cstheme="minorHAnsi"/>
                <w:color w:val="1F3864" w:themeColor="accent1" w:themeShade="80"/>
                <w:sz w:val="20"/>
                <w:szCs w:val="20"/>
              </w:rPr>
              <w:t xml:space="preserve">Consult the </w:t>
            </w:r>
            <w:hyperlink r:id="rId11" w:history="1">
              <w:r w:rsidRPr="009A66F5">
                <w:rPr>
                  <w:rStyle w:val="Hyperlink"/>
                  <w:rFonts w:ascii="National Book" w:hAnsi="National Book" w:cstheme="minorHAnsi"/>
                  <w:sz w:val="20"/>
                  <w:szCs w:val="20"/>
                </w:rPr>
                <w:t>Transfer Credit Guide</w:t>
              </w:r>
            </w:hyperlink>
          </w:p>
        </w:tc>
      </w:tr>
      <w:tr w:rsidR="005B5EF4" w:rsidRPr="00EE114A" w14:paraId="273968C6" w14:textId="77777777" w:rsidTr="009A66F5">
        <w:trPr>
          <w:cantSplit/>
          <w:trHeight w:val="660"/>
        </w:trPr>
        <w:tc>
          <w:tcPr>
            <w:tcW w:w="9445" w:type="dxa"/>
            <w:gridSpan w:val="3"/>
            <w:shd w:val="clear" w:color="auto" w:fill="002060"/>
          </w:tcPr>
          <w:p w14:paraId="675CAEAE" w14:textId="77777777" w:rsidR="005B5EF4" w:rsidRPr="009A66F5" w:rsidRDefault="005B5EF4" w:rsidP="00B5565D">
            <w:pPr>
              <w:ind w:left="720" w:hanging="720"/>
              <w:jc w:val="center"/>
              <w:rPr>
                <w:rFonts w:ascii="National Book" w:hAnsi="National Book"/>
                <w:b/>
                <w:color w:val="FFFFFF" w:themeColor="background1"/>
                <w:szCs w:val="20"/>
              </w:rPr>
            </w:pPr>
            <w:r w:rsidRPr="009A66F5">
              <w:rPr>
                <w:rFonts w:ascii="National Book" w:hAnsi="National Book"/>
                <w:b/>
                <w:color w:val="FFFFFF" w:themeColor="background1"/>
                <w:szCs w:val="20"/>
              </w:rPr>
              <w:t>61 TOTAL CREDIT HOURS TO COMPLETE</w:t>
            </w:r>
          </w:p>
          <w:p w14:paraId="69A62DD6" w14:textId="77777777" w:rsidR="005B5EF4" w:rsidRPr="009A66F5" w:rsidRDefault="005B5EF4" w:rsidP="00B5565D">
            <w:pPr>
              <w:jc w:val="center"/>
              <w:rPr>
                <w:rFonts w:ascii="National Book" w:hAnsi="National Book"/>
                <w:b/>
                <w:color w:val="FFFFFF" w:themeColor="background1"/>
                <w:szCs w:val="20"/>
              </w:rPr>
            </w:pPr>
            <w:r w:rsidRPr="009A66F5">
              <w:rPr>
                <w:rFonts w:ascii="National Book" w:hAnsi="National Book"/>
                <w:b/>
                <w:color w:val="FFFFFF" w:themeColor="background1"/>
                <w:szCs w:val="20"/>
              </w:rPr>
              <w:t>AAB FROM EASTERN GATEWAY COMMUNITY COLLEGE</w:t>
            </w:r>
          </w:p>
        </w:tc>
      </w:tr>
    </w:tbl>
    <w:p w14:paraId="1FA87BCC" w14:textId="77BAB74E" w:rsidR="00EE114A" w:rsidRPr="00EE114A" w:rsidRDefault="00EE114A" w:rsidP="00EE114A"/>
    <w:p w14:paraId="6AE8BC60" w14:textId="03D35912" w:rsidR="00EE114A" w:rsidRPr="00EE114A" w:rsidRDefault="00EE114A" w:rsidP="00EE114A"/>
    <w:p w14:paraId="46EB593F" w14:textId="2DF7BB4B" w:rsidR="008072BF" w:rsidRDefault="00D54F8C" w:rsidP="00EE114A">
      <w:r w:rsidRPr="00D54F8C">
        <w:rPr>
          <w:rFonts w:ascii="National Book" w:hAnsi="National Book" w:cs="Arial"/>
          <w:color w:val="1F3864" w:themeColor="accent1" w:themeShade="80"/>
          <w:sz w:val="20"/>
          <w:szCs w:val="20"/>
        </w:rPr>
        <w:t xml:space="preserve">All students must satisfy the diversity requirement, consisting of one course addressing domestic (U.S.) issues (DIVD) and one course addressing global issues (DIVG). At least one course must come from the OT36 /Kent Core. Please consult the </w:t>
      </w:r>
      <w:hyperlink r:id="rId12" w:history="1">
        <w:r w:rsidRPr="00D54F8C">
          <w:rPr>
            <w:rStyle w:val="Hyperlink"/>
            <w:rFonts w:ascii="National Book" w:hAnsi="National Book" w:cs="Arial"/>
            <w:sz w:val="20"/>
            <w:szCs w:val="20"/>
          </w:rPr>
          <w:t>Transfer Credit Guide</w:t>
        </w:r>
      </w:hyperlink>
      <w:r w:rsidRPr="00D54F8C">
        <w:rPr>
          <w:rFonts w:ascii="National Book" w:hAnsi="National Book" w:cs="Arial"/>
          <w:color w:val="1F3864" w:themeColor="accent1" w:themeShade="80"/>
          <w:sz w:val="20"/>
          <w:szCs w:val="20"/>
        </w:rPr>
        <w:t>.</w:t>
      </w:r>
    </w:p>
    <w:p w14:paraId="13D8FDB2" w14:textId="77777777" w:rsidR="008072BF" w:rsidRDefault="008072BF">
      <w:r>
        <w:br w:type="page"/>
      </w:r>
    </w:p>
    <w:p w14:paraId="728D3358" w14:textId="77777777" w:rsidR="008072BF" w:rsidRPr="008072BF" w:rsidRDefault="008072BF" w:rsidP="00EE114A">
      <w:pPr>
        <w:rPr>
          <w:sz w:val="72"/>
          <w:szCs w:val="72"/>
        </w:rPr>
      </w:pPr>
    </w:p>
    <w:p w14:paraId="76EC4F6F" w14:textId="639948B1" w:rsidR="00EE114A" w:rsidRPr="00EE114A" w:rsidRDefault="00EE114A" w:rsidP="00EE114A"/>
    <w:tbl>
      <w:tblPr>
        <w:tblStyle w:val="TableGrid1"/>
        <w:tblpPr w:leftFromText="180" w:rightFromText="180" w:vertAnchor="page" w:horzAnchor="margin" w:tblpXSpec="center" w:tblpY="1148"/>
        <w:tblOverlap w:val="never"/>
        <w:tblW w:w="9175" w:type="dxa"/>
        <w:tblLayout w:type="fixed"/>
        <w:tblLook w:val="0480" w:firstRow="0" w:lastRow="0" w:firstColumn="1" w:lastColumn="0" w:noHBand="0" w:noVBand="1"/>
      </w:tblPr>
      <w:tblGrid>
        <w:gridCol w:w="6925"/>
        <w:gridCol w:w="2250"/>
      </w:tblGrid>
      <w:tr w:rsidR="00B5565D" w:rsidRPr="00EE6A3C" w14:paraId="21979220" w14:textId="77777777" w:rsidTr="009A66F5">
        <w:trPr>
          <w:cantSplit/>
          <w:trHeight w:val="718"/>
        </w:trPr>
        <w:tc>
          <w:tcPr>
            <w:tcW w:w="9175" w:type="dxa"/>
            <w:gridSpan w:val="2"/>
            <w:shd w:val="clear" w:color="auto" w:fill="002060"/>
          </w:tcPr>
          <w:p w14:paraId="51692149" w14:textId="77777777" w:rsidR="00B5565D" w:rsidRPr="008072BF" w:rsidRDefault="00B5565D" w:rsidP="00B5565D">
            <w:pPr>
              <w:jc w:val="center"/>
              <w:rPr>
                <w:rFonts w:ascii="National Book" w:eastAsia="Calibri" w:hAnsi="National Book" w:cs="Times New Roman"/>
                <w:b/>
                <w:color w:val="FFFFFF"/>
                <w:sz w:val="24"/>
                <w:szCs w:val="24"/>
              </w:rPr>
            </w:pPr>
            <w:r w:rsidRPr="008072BF">
              <w:rPr>
                <w:rFonts w:ascii="National Book" w:eastAsia="Calibri" w:hAnsi="National Book" w:cs="Times New Roman"/>
                <w:b/>
                <w:color w:val="FFFFFF"/>
                <w:sz w:val="24"/>
                <w:szCs w:val="24"/>
              </w:rPr>
              <w:t xml:space="preserve">SUGGESTED SEQUENCE AT </w:t>
            </w:r>
          </w:p>
          <w:p w14:paraId="492EC064" w14:textId="77777777" w:rsidR="00B5565D" w:rsidRPr="008072BF" w:rsidRDefault="00B5565D" w:rsidP="00B5565D">
            <w:pPr>
              <w:jc w:val="center"/>
              <w:rPr>
                <w:rFonts w:ascii="National Book" w:eastAsia="Calibri" w:hAnsi="National Book" w:cs="Times New Roman"/>
                <w:b/>
                <w:sz w:val="24"/>
                <w:szCs w:val="24"/>
              </w:rPr>
            </w:pPr>
            <w:r w:rsidRPr="008072BF">
              <w:rPr>
                <w:rFonts w:ascii="National Book" w:eastAsia="Calibri" w:hAnsi="National Book" w:cs="Times New Roman"/>
                <w:b/>
                <w:color w:val="FFFFFF"/>
                <w:sz w:val="24"/>
                <w:szCs w:val="24"/>
              </w:rPr>
              <w:t>KENT STATE UNIVERSITY</w:t>
            </w:r>
          </w:p>
        </w:tc>
      </w:tr>
      <w:tr w:rsidR="00B5565D" w:rsidRPr="00EE6A3C" w14:paraId="02CCD77F" w14:textId="77777777" w:rsidTr="009A66F5">
        <w:trPr>
          <w:cantSplit/>
          <w:trHeight w:val="299"/>
        </w:trPr>
        <w:tc>
          <w:tcPr>
            <w:tcW w:w="6925" w:type="dxa"/>
            <w:shd w:val="clear" w:color="auto" w:fill="D9D9D9"/>
          </w:tcPr>
          <w:p w14:paraId="4ECD8847" w14:textId="77777777" w:rsidR="00B5565D" w:rsidRPr="008072BF" w:rsidRDefault="00B5565D" w:rsidP="00B5565D">
            <w:pPr>
              <w:rPr>
                <w:rFonts w:ascii="National Book" w:eastAsia="Calibri" w:hAnsi="National Book" w:cs="Times New Roman"/>
                <w:b/>
                <w:color w:val="1F3864" w:themeColor="accent1" w:themeShade="80"/>
                <w:sz w:val="20"/>
                <w:szCs w:val="20"/>
              </w:rPr>
            </w:pPr>
            <w:r w:rsidRPr="008072BF">
              <w:rPr>
                <w:rFonts w:ascii="National Book" w:eastAsia="Calibri" w:hAnsi="National Book" w:cs="Times New Roman"/>
                <w:b/>
                <w:color w:val="1F3864" w:themeColor="accent1" w:themeShade="80"/>
                <w:sz w:val="20"/>
                <w:szCs w:val="20"/>
              </w:rPr>
              <w:t xml:space="preserve">Semester Five </w:t>
            </w:r>
          </w:p>
        </w:tc>
        <w:tc>
          <w:tcPr>
            <w:tcW w:w="2250" w:type="dxa"/>
            <w:shd w:val="clear" w:color="auto" w:fill="D9D9D9"/>
            <w:vAlign w:val="center"/>
          </w:tcPr>
          <w:p w14:paraId="3DF1DD8A" w14:textId="77777777" w:rsidR="00B5565D" w:rsidRPr="008072BF" w:rsidRDefault="00B5565D" w:rsidP="00B5565D">
            <w:pPr>
              <w:jc w:val="center"/>
              <w:rPr>
                <w:rFonts w:ascii="National Book" w:eastAsia="Calibri" w:hAnsi="National Book" w:cs="Times New Roman"/>
                <w:b/>
                <w:color w:val="1F3864" w:themeColor="accent1" w:themeShade="80"/>
                <w:sz w:val="20"/>
                <w:szCs w:val="20"/>
              </w:rPr>
            </w:pPr>
            <w:r w:rsidRPr="008072BF">
              <w:rPr>
                <w:rFonts w:ascii="National Book" w:hAnsi="National Book"/>
                <w:b/>
                <w:color w:val="1F3864" w:themeColor="accent1" w:themeShade="80"/>
                <w:sz w:val="20"/>
                <w:szCs w:val="20"/>
              </w:rPr>
              <w:t>15</w:t>
            </w:r>
            <w:r w:rsidRPr="008072BF">
              <w:rPr>
                <w:rFonts w:ascii="National Book" w:eastAsia="Calibri" w:hAnsi="National Book" w:cs="Times New Roman"/>
                <w:b/>
                <w:color w:val="1F3864" w:themeColor="accent1" w:themeShade="80"/>
                <w:sz w:val="20"/>
                <w:szCs w:val="20"/>
              </w:rPr>
              <w:t xml:space="preserve"> Credits</w:t>
            </w:r>
          </w:p>
        </w:tc>
      </w:tr>
      <w:tr w:rsidR="00420377" w:rsidRPr="00EE6A3C" w14:paraId="2C414076" w14:textId="77777777" w:rsidTr="009A66F5">
        <w:trPr>
          <w:cantSplit/>
          <w:trHeight w:val="269"/>
        </w:trPr>
        <w:tc>
          <w:tcPr>
            <w:tcW w:w="6925" w:type="dxa"/>
          </w:tcPr>
          <w:p w14:paraId="1D2B1C37" w14:textId="51485EFB" w:rsidR="00420377" w:rsidRPr="008072BF" w:rsidRDefault="00420377" w:rsidP="00420377">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TAS 40092 Internship for Technical and Applied Studies (ELR)</w:t>
            </w:r>
            <w:r w:rsidR="002E19AB">
              <w:rPr>
                <w:rFonts w:ascii="National Book" w:eastAsia="Calibri" w:hAnsi="National Book" w:cs="Calibri"/>
                <w:bCs/>
                <w:color w:val="1F3864" w:themeColor="accent1" w:themeShade="80"/>
                <w:sz w:val="20"/>
                <w:szCs w:val="20"/>
              </w:rPr>
              <w:t xml:space="preserve"> </w:t>
            </w:r>
            <w:r w:rsidR="002E19AB" w:rsidRPr="008072BF">
              <w:rPr>
                <w:rFonts w:ascii="National Book" w:eastAsia="Calibri" w:hAnsi="National Book" w:cs="Calibri"/>
                <w:bCs/>
                <w:color w:val="1F3864" w:themeColor="accent1" w:themeShade="80"/>
                <w:sz w:val="20"/>
                <w:szCs w:val="20"/>
                <w:vertAlign w:val="superscript"/>
              </w:rPr>
              <w:t>1</w:t>
            </w:r>
          </w:p>
        </w:tc>
        <w:tc>
          <w:tcPr>
            <w:tcW w:w="2250" w:type="dxa"/>
            <w:vAlign w:val="center"/>
          </w:tcPr>
          <w:p w14:paraId="19E61F08" w14:textId="1ED25D76" w:rsidR="00420377" w:rsidRPr="008072BF" w:rsidRDefault="00420377" w:rsidP="00420377">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0457FE2C" w14:textId="77777777" w:rsidTr="009A66F5">
        <w:trPr>
          <w:cantSplit/>
          <w:trHeight w:val="299"/>
        </w:trPr>
        <w:tc>
          <w:tcPr>
            <w:tcW w:w="6925" w:type="dxa"/>
          </w:tcPr>
          <w:p w14:paraId="095A6686" w14:textId="19977DBE"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ENG 21011 College Writing II (KCP2) @</w:t>
            </w:r>
          </w:p>
        </w:tc>
        <w:tc>
          <w:tcPr>
            <w:tcW w:w="2250" w:type="dxa"/>
          </w:tcPr>
          <w:p w14:paraId="6C1BDF72" w14:textId="63BF90C7"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41AD62E4" w14:textId="77777777" w:rsidTr="009A66F5">
        <w:trPr>
          <w:cantSplit/>
          <w:trHeight w:val="269"/>
        </w:trPr>
        <w:tc>
          <w:tcPr>
            <w:tcW w:w="6925" w:type="dxa"/>
          </w:tcPr>
          <w:p w14:paraId="3EBE84DF" w14:textId="02AB7B91"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w:t>
            </w:r>
          </w:p>
        </w:tc>
        <w:tc>
          <w:tcPr>
            <w:tcW w:w="2250" w:type="dxa"/>
          </w:tcPr>
          <w:p w14:paraId="2DFC4344" w14:textId="19F829CE"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37B35EF7" w14:textId="77777777" w:rsidTr="009A66F5">
        <w:trPr>
          <w:cantSplit/>
          <w:trHeight w:val="299"/>
        </w:trPr>
        <w:tc>
          <w:tcPr>
            <w:tcW w:w="6925" w:type="dxa"/>
          </w:tcPr>
          <w:p w14:paraId="33B7A0D7" w14:textId="69915F5B" w:rsidR="00170F99" w:rsidRPr="008072BF" w:rsidRDefault="00682436"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tcPr>
          <w:p w14:paraId="26A2340B" w14:textId="4F0E94E3"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0DAF019A" w14:textId="77777777" w:rsidTr="009A66F5">
        <w:trPr>
          <w:cantSplit/>
          <w:trHeight w:val="269"/>
        </w:trPr>
        <w:tc>
          <w:tcPr>
            <w:tcW w:w="6925" w:type="dxa"/>
          </w:tcPr>
          <w:p w14:paraId="774F02D1" w14:textId="70516602" w:rsidR="00170F99" w:rsidRPr="008072BF" w:rsidRDefault="00682436"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tcPr>
          <w:p w14:paraId="2D2C0B01" w14:textId="606893B5"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19E03945" w14:textId="77777777" w:rsidTr="009A66F5">
        <w:trPr>
          <w:cantSplit/>
          <w:trHeight w:val="299"/>
        </w:trPr>
        <w:tc>
          <w:tcPr>
            <w:tcW w:w="6925" w:type="dxa"/>
            <w:shd w:val="clear" w:color="auto" w:fill="D9D9D9"/>
          </w:tcPr>
          <w:p w14:paraId="697B7FF5" w14:textId="77777777" w:rsidR="00170F99" w:rsidRPr="008072BF" w:rsidRDefault="00170F99" w:rsidP="00170F99">
            <w:pPr>
              <w:rPr>
                <w:rFonts w:ascii="National Book" w:eastAsia="Calibri" w:hAnsi="National Book" w:cs="Times New Roman"/>
                <w:b/>
                <w:color w:val="1F3864" w:themeColor="accent1" w:themeShade="80"/>
                <w:sz w:val="20"/>
                <w:szCs w:val="20"/>
              </w:rPr>
            </w:pPr>
            <w:r w:rsidRPr="008072BF">
              <w:rPr>
                <w:rFonts w:ascii="National Book" w:eastAsia="Calibri" w:hAnsi="National Book" w:cs="Times New Roman"/>
                <w:b/>
                <w:color w:val="1F3864" w:themeColor="accent1" w:themeShade="80"/>
                <w:sz w:val="20"/>
                <w:szCs w:val="20"/>
              </w:rPr>
              <w:t xml:space="preserve">Semester Six </w:t>
            </w:r>
          </w:p>
        </w:tc>
        <w:tc>
          <w:tcPr>
            <w:tcW w:w="2250" w:type="dxa"/>
            <w:shd w:val="clear" w:color="auto" w:fill="D9D9D9"/>
            <w:vAlign w:val="center"/>
          </w:tcPr>
          <w:p w14:paraId="41E8C527" w14:textId="77777777" w:rsidR="00170F99" w:rsidRPr="008072BF" w:rsidRDefault="00170F99" w:rsidP="00170F99">
            <w:pPr>
              <w:jc w:val="center"/>
              <w:rPr>
                <w:rFonts w:ascii="National Book" w:eastAsia="Calibri" w:hAnsi="National Book" w:cs="Times New Roman"/>
                <w:b/>
                <w:color w:val="1F3864" w:themeColor="accent1" w:themeShade="80"/>
                <w:sz w:val="20"/>
                <w:szCs w:val="20"/>
              </w:rPr>
            </w:pPr>
            <w:r w:rsidRPr="008072BF">
              <w:rPr>
                <w:rFonts w:ascii="National Book" w:hAnsi="National Book"/>
                <w:b/>
                <w:color w:val="1F3864" w:themeColor="accent1" w:themeShade="80"/>
                <w:sz w:val="20"/>
                <w:szCs w:val="20"/>
              </w:rPr>
              <w:t>15</w:t>
            </w:r>
            <w:r w:rsidRPr="008072BF">
              <w:rPr>
                <w:rFonts w:ascii="National Book" w:eastAsia="Calibri" w:hAnsi="National Book" w:cs="Times New Roman"/>
                <w:b/>
                <w:color w:val="1F3864" w:themeColor="accent1" w:themeShade="80"/>
                <w:sz w:val="20"/>
                <w:szCs w:val="20"/>
              </w:rPr>
              <w:t xml:space="preserve"> Credits</w:t>
            </w:r>
          </w:p>
        </w:tc>
      </w:tr>
      <w:tr w:rsidR="00170F99" w:rsidRPr="00EE6A3C" w14:paraId="4DB7BBEA" w14:textId="77777777" w:rsidTr="009A66F5">
        <w:trPr>
          <w:cantSplit/>
          <w:trHeight w:val="269"/>
        </w:trPr>
        <w:tc>
          <w:tcPr>
            <w:tcW w:w="6925" w:type="dxa"/>
            <w:shd w:val="clear" w:color="auto" w:fill="auto"/>
          </w:tcPr>
          <w:p w14:paraId="475E18F7" w14:textId="30E39147"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 xml:space="preserve">TAS 37900 Technical &amp; Applied Studies Cornerstone </w:t>
            </w:r>
            <w:r w:rsidRPr="008072BF">
              <w:rPr>
                <w:rFonts w:ascii="National Book" w:eastAsia="Calibri" w:hAnsi="National Book" w:cs="Calibri"/>
                <w:bCs/>
                <w:color w:val="1F3864" w:themeColor="accent1" w:themeShade="80"/>
                <w:sz w:val="20"/>
                <w:szCs w:val="20"/>
                <w:vertAlign w:val="superscript"/>
              </w:rPr>
              <w:t>2</w:t>
            </w:r>
          </w:p>
        </w:tc>
        <w:tc>
          <w:tcPr>
            <w:tcW w:w="2250" w:type="dxa"/>
            <w:shd w:val="clear" w:color="auto" w:fill="auto"/>
          </w:tcPr>
          <w:p w14:paraId="7FF0A35A" w14:textId="254926BD"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31CD6048" w14:textId="77777777" w:rsidTr="009A66F5">
        <w:trPr>
          <w:cantSplit/>
          <w:trHeight w:val="269"/>
        </w:trPr>
        <w:tc>
          <w:tcPr>
            <w:tcW w:w="6925" w:type="dxa"/>
            <w:shd w:val="clear" w:color="auto" w:fill="auto"/>
          </w:tcPr>
          <w:p w14:paraId="4A01C636" w14:textId="31CE769F"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Kent Core Humanities and Fine Arts (KHUM/KFA)* @</w:t>
            </w:r>
          </w:p>
        </w:tc>
        <w:tc>
          <w:tcPr>
            <w:tcW w:w="2250" w:type="dxa"/>
            <w:shd w:val="clear" w:color="auto" w:fill="auto"/>
          </w:tcPr>
          <w:p w14:paraId="411DDDA8" w14:textId="58A985E8"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50AB9F5C" w14:textId="77777777" w:rsidTr="009A66F5">
        <w:trPr>
          <w:cantSplit/>
          <w:trHeight w:val="290"/>
        </w:trPr>
        <w:tc>
          <w:tcPr>
            <w:tcW w:w="6925" w:type="dxa"/>
            <w:shd w:val="clear" w:color="auto" w:fill="auto"/>
          </w:tcPr>
          <w:p w14:paraId="2EF3735D" w14:textId="7A82EE71"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Kent Core Basic Science (KBS) @</w:t>
            </w:r>
          </w:p>
        </w:tc>
        <w:tc>
          <w:tcPr>
            <w:tcW w:w="2250" w:type="dxa"/>
            <w:shd w:val="clear" w:color="auto" w:fill="auto"/>
          </w:tcPr>
          <w:p w14:paraId="4C9D7C05" w14:textId="0C026B1A"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576066D9" w14:textId="77777777" w:rsidTr="009A66F5">
        <w:trPr>
          <w:cantSplit/>
          <w:trHeight w:val="299"/>
        </w:trPr>
        <w:tc>
          <w:tcPr>
            <w:tcW w:w="6925" w:type="dxa"/>
            <w:shd w:val="clear" w:color="auto" w:fill="auto"/>
          </w:tcPr>
          <w:p w14:paraId="630D7A91" w14:textId="01225AD6"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1723E6F8" w14:textId="1E0379C5"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10A7A8AE" w14:textId="77777777" w:rsidTr="009A66F5">
        <w:trPr>
          <w:cantSplit/>
          <w:trHeight w:val="269"/>
        </w:trPr>
        <w:tc>
          <w:tcPr>
            <w:tcW w:w="6925" w:type="dxa"/>
            <w:shd w:val="clear" w:color="auto" w:fill="auto"/>
          </w:tcPr>
          <w:p w14:paraId="285679DC" w14:textId="4A056DE7"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188DBD66" w14:textId="4D5624EA"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7C62DFC5" w14:textId="77777777" w:rsidTr="009A66F5">
        <w:trPr>
          <w:cantSplit/>
          <w:trHeight w:val="299"/>
        </w:trPr>
        <w:tc>
          <w:tcPr>
            <w:tcW w:w="6925" w:type="dxa"/>
            <w:shd w:val="clear" w:color="auto" w:fill="auto"/>
          </w:tcPr>
          <w:p w14:paraId="0AFEDEA6" w14:textId="3DE4F967"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6EB04C0F" w14:textId="134E35F6"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61E9E12C" w14:textId="77777777" w:rsidTr="009A66F5">
        <w:trPr>
          <w:cantSplit/>
          <w:trHeight w:val="269"/>
        </w:trPr>
        <w:tc>
          <w:tcPr>
            <w:tcW w:w="6925" w:type="dxa"/>
            <w:shd w:val="clear" w:color="auto" w:fill="D9D9D9"/>
          </w:tcPr>
          <w:p w14:paraId="453A0280" w14:textId="77777777" w:rsidR="00170F99" w:rsidRPr="008072BF" w:rsidRDefault="00170F99" w:rsidP="00170F99">
            <w:pPr>
              <w:rPr>
                <w:rFonts w:ascii="National Book" w:eastAsia="Calibri" w:hAnsi="National Book" w:cs="Times New Roman"/>
                <w:b/>
                <w:color w:val="1F3864" w:themeColor="accent1" w:themeShade="80"/>
                <w:sz w:val="20"/>
                <w:szCs w:val="20"/>
              </w:rPr>
            </w:pPr>
            <w:r w:rsidRPr="008072BF">
              <w:rPr>
                <w:rFonts w:ascii="National Book" w:eastAsia="Calibri" w:hAnsi="National Book" w:cs="Times New Roman"/>
                <w:b/>
                <w:color w:val="1F3864" w:themeColor="accent1" w:themeShade="80"/>
                <w:sz w:val="20"/>
                <w:szCs w:val="20"/>
              </w:rPr>
              <w:t>Semester Seven</w:t>
            </w:r>
          </w:p>
        </w:tc>
        <w:tc>
          <w:tcPr>
            <w:tcW w:w="2250" w:type="dxa"/>
            <w:shd w:val="clear" w:color="auto" w:fill="D9D9D9"/>
            <w:vAlign w:val="center"/>
          </w:tcPr>
          <w:p w14:paraId="5D7EBB72" w14:textId="77777777" w:rsidR="00170F99" w:rsidRPr="008072BF" w:rsidRDefault="00170F99" w:rsidP="00170F99">
            <w:pPr>
              <w:jc w:val="center"/>
              <w:rPr>
                <w:rFonts w:ascii="National Book" w:eastAsia="Calibri" w:hAnsi="National Book" w:cs="Times New Roman"/>
                <w:b/>
                <w:color w:val="1F3864" w:themeColor="accent1" w:themeShade="80"/>
                <w:sz w:val="20"/>
                <w:szCs w:val="20"/>
              </w:rPr>
            </w:pPr>
            <w:r w:rsidRPr="008072BF">
              <w:rPr>
                <w:rFonts w:ascii="National Book" w:hAnsi="National Book"/>
                <w:b/>
                <w:color w:val="1F3864" w:themeColor="accent1" w:themeShade="80"/>
                <w:sz w:val="20"/>
                <w:szCs w:val="20"/>
              </w:rPr>
              <w:t xml:space="preserve">15 </w:t>
            </w:r>
            <w:r w:rsidRPr="008072BF">
              <w:rPr>
                <w:rFonts w:ascii="National Book" w:eastAsia="Calibri" w:hAnsi="National Book" w:cs="Times New Roman"/>
                <w:b/>
                <w:color w:val="1F3864" w:themeColor="accent1" w:themeShade="80"/>
                <w:sz w:val="20"/>
                <w:szCs w:val="20"/>
              </w:rPr>
              <w:t>Credits</w:t>
            </w:r>
          </w:p>
        </w:tc>
      </w:tr>
      <w:tr w:rsidR="00170F99" w:rsidRPr="00EE6A3C" w14:paraId="34DE0EAA" w14:textId="77777777" w:rsidTr="009A66F5">
        <w:trPr>
          <w:cantSplit/>
          <w:trHeight w:val="290"/>
        </w:trPr>
        <w:tc>
          <w:tcPr>
            <w:tcW w:w="6925" w:type="dxa"/>
            <w:shd w:val="clear" w:color="auto" w:fill="auto"/>
          </w:tcPr>
          <w:p w14:paraId="2B53C892" w14:textId="41E7599C"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 xml:space="preserve">TAS 47999 Technical and Applied Studies Capstone (ELR) (WIC) (min C grade) </w:t>
            </w:r>
            <w:r w:rsidRPr="008072BF">
              <w:rPr>
                <w:rFonts w:ascii="National Book" w:eastAsia="Calibri" w:hAnsi="National Book" w:cs="Calibri"/>
                <w:bCs/>
                <w:color w:val="1F3864" w:themeColor="accent1" w:themeShade="80"/>
                <w:sz w:val="20"/>
                <w:szCs w:val="20"/>
                <w:vertAlign w:val="superscript"/>
              </w:rPr>
              <w:t>3</w:t>
            </w:r>
          </w:p>
        </w:tc>
        <w:tc>
          <w:tcPr>
            <w:tcW w:w="2250" w:type="dxa"/>
            <w:shd w:val="clear" w:color="auto" w:fill="auto"/>
            <w:vAlign w:val="center"/>
          </w:tcPr>
          <w:p w14:paraId="48425C5C" w14:textId="63659FB2"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319492C7" w14:textId="77777777" w:rsidTr="009A66F5">
        <w:trPr>
          <w:cantSplit/>
          <w:trHeight w:val="290"/>
        </w:trPr>
        <w:tc>
          <w:tcPr>
            <w:tcW w:w="6925" w:type="dxa"/>
            <w:shd w:val="clear" w:color="auto" w:fill="auto"/>
          </w:tcPr>
          <w:p w14:paraId="6470503D" w14:textId="09247862"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Kent Core Humanities and Fine Arts (KHUM/KFA)* @</w:t>
            </w:r>
          </w:p>
        </w:tc>
        <w:tc>
          <w:tcPr>
            <w:tcW w:w="2250" w:type="dxa"/>
            <w:shd w:val="clear" w:color="auto" w:fill="auto"/>
          </w:tcPr>
          <w:p w14:paraId="43C32CA5" w14:textId="572B06B1"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064D98F5" w14:textId="77777777" w:rsidTr="009A66F5">
        <w:trPr>
          <w:cantSplit/>
          <w:trHeight w:val="299"/>
        </w:trPr>
        <w:tc>
          <w:tcPr>
            <w:tcW w:w="6925" w:type="dxa"/>
            <w:shd w:val="clear" w:color="auto" w:fill="auto"/>
          </w:tcPr>
          <w:p w14:paraId="0698CFBE" w14:textId="28AC8BE5"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Kent Core Basic Science with Lab (KBS, KLAB) @</w:t>
            </w:r>
          </w:p>
        </w:tc>
        <w:tc>
          <w:tcPr>
            <w:tcW w:w="2250" w:type="dxa"/>
            <w:shd w:val="clear" w:color="auto" w:fill="auto"/>
          </w:tcPr>
          <w:p w14:paraId="2F66656B" w14:textId="7E7F90A0"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3EF73C59" w14:textId="77777777" w:rsidTr="009A66F5">
        <w:trPr>
          <w:cantSplit/>
          <w:trHeight w:val="269"/>
        </w:trPr>
        <w:tc>
          <w:tcPr>
            <w:tcW w:w="6925" w:type="dxa"/>
            <w:shd w:val="clear" w:color="auto" w:fill="auto"/>
          </w:tcPr>
          <w:p w14:paraId="69F1B5BC" w14:textId="7FE47FB6"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78D5D91E" w14:textId="7C047382"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1B31B39D" w14:textId="77777777" w:rsidTr="009A66F5">
        <w:trPr>
          <w:cantSplit/>
          <w:trHeight w:val="269"/>
        </w:trPr>
        <w:tc>
          <w:tcPr>
            <w:tcW w:w="6925" w:type="dxa"/>
            <w:shd w:val="clear" w:color="auto" w:fill="auto"/>
          </w:tcPr>
          <w:p w14:paraId="2DD30444" w14:textId="52C660C4"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135767B1" w14:textId="1F7B208A"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34CB9DCA" w14:textId="77777777" w:rsidTr="009A66F5">
        <w:trPr>
          <w:cantSplit/>
          <w:trHeight w:val="299"/>
        </w:trPr>
        <w:tc>
          <w:tcPr>
            <w:tcW w:w="6925" w:type="dxa"/>
            <w:shd w:val="clear" w:color="auto" w:fill="D9D9D9"/>
          </w:tcPr>
          <w:p w14:paraId="3E1479E9" w14:textId="77777777" w:rsidR="00170F99" w:rsidRPr="008072BF" w:rsidRDefault="00170F99" w:rsidP="00170F99">
            <w:pPr>
              <w:rPr>
                <w:rFonts w:ascii="National Book" w:eastAsia="Calibri" w:hAnsi="National Book" w:cs="Times New Roman"/>
                <w:b/>
                <w:color w:val="1F3864" w:themeColor="accent1" w:themeShade="80"/>
                <w:sz w:val="20"/>
                <w:szCs w:val="20"/>
              </w:rPr>
            </w:pPr>
            <w:r w:rsidRPr="008072BF">
              <w:rPr>
                <w:rFonts w:ascii="National Book" w:eastAsia="Calibri" w:hAnsi="National Book" w:cs="Times New Roman"/>
                <w:b/>
                <w:color w:val="1F3864" w:themeColor="accent1" w:themeShade="80"/>
                <w:sz w:val="20"/>
                <w:szCs w:val="20"/>
              </w:rPr>
              <w:t xml:space="preserve">Semester Eight </w:t>
            </w:r>
          </w:p>
        </w:tc>
        <w:tc>
          <w:tcPr>
            <w:tcW w:w="2250" w:type="dxa"/>
            <w:shd w:val="clear" w:color="auto" w:fill="D9D9D9"/>
            <w:vAlign w:val="center"/>
          </w:tcPr>
          <w:p w14:paraId="3295B849" w14:textId="77777777" w:rsidR="00170F99" w:rsidRPr="008072BF" w:rsidRDefault="00170F99" w:rsidP="00170F99">
            <w:pPr>
              <w:jc w:val="center"/>
              <w:rPr>
                <w:rFonts w:ascii="National Book" w:eastAsia="Calibri" w:hAnsi="National Book" w:cs="Times New Roman"/>
                <w:b/>
                <w:color w:val="1F3864" w:themeColor="accent1" w:themeShade="80"/>
                <w:sz w:val="20"/>
                <w:szCs w:val="20"/>
              </w:rPr>
            </w:pPr>
            <w:r w:rsidRPr="008072BF">
              <w:rPr>
                <w:rFonts w:ascii="National Book" w:hAnsi="National Book"/>
                <w:b/>
                <w:color w:val="1F3864" w:themeColor="accent1" w:themeShade="80"/>
                <w:sz w:val="20"/>
                <w:szCs w:val="20"/>
              </w:rPr>
              <w:t>15</w:t>
            </w:r>
            <w:r w:rsidRPr="008072BF">
              <w:rPr>
                <w:rFonts w:ascii="National Book" w:eastAsia="Calibri" w:hAnsi="National Book" w:cs="Times New Roman"/>
                <w:b/>
                <w:color w:val="1F3864" w:themeColor="accent1" w:themeShade="80"/>
                <w:sz w:val="20"/>
                <w:szCs w:val="20"/>
              </w:rPr>
              <w:t xml:space="preserve"> Credits</w:t>
            </w:r>
          </w:p>
        </w:tc>
      </w:tr>
      <w:tr w:rsidR="00170F99" w:rsidRPr="00EE6A3C" w14:paraId="4DA42B08" w14:textId="77777777" w:rsidTr="009A66F5">
        <w:trPr>
          <w:cantSplit/>
          <w:trHeight w:val="269"/>
        </w:trPr>
        <w:tc>
          <w:tcPr>
            <w:tcW w:w="6925" w:type="dxa"/>
            <w:shd w:val="clear" w:color="auto" w:fill="auto"/>
          </w:tcPr>
          <w:p w14:paraId="02711CFD" w14:textId="3BB40522"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Kent Core Humanities and Fine Arts (KHUM/KFA)* @</w:t>
            </w:r>
          </w:p>
        </w:tc>
        <w:tc>
          <w:tcPr>
            <w:tcW w:w="2250" w:type="dxa"/>
            <w:shd w:val="clear" w:color="auto" w:fill="auto"/>
          </w:tcPr>
          <w:p w14:paraId="4871B7C7" w14:textId="0435C165"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5BEBD63E" w14:textId="77777777" w:rsidTr="009A66F5">
        <w:trPr>
          <w:cantSplit/>
          <w:trHeight w:val="299"/>
        </w:trPr>
        <w:tc>
          <w:tcPr>
            <w:tcW w:w="6925" w:type="dxa"/>
            <w:shd w:val="clear" w:color="auto" w:fill="auto"/>
          </w:tcPr>
          <w:p w14:paraId="2E13A54E" w14:textId="7C839030"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42B95B2E" w14:textId="5E3F84EF"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6029BEE0" w14:textId="77777777" w:rsidTr="009A66F5">
        <w:trPr>
          <w:cantSplit/>
          <w:trHeight w:val="269"/>
        </w:trPr>
        <w:tc>
          <w:tcPr>
            <w:tcW w:w="6925" w:type="dxa"/>
            <w:shd w:val="clear" w:color="auto" w:fill="auto"/>
          </w:tcPr>
          <w:p w14:paraId="0186DCE6" w14:textId="7B07C115"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2DD504E6" w14:textId="73873AF6"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47BEAB16" w14:textId="77777777" w:rsidTr="009A66F5">
        <w:trPr>
          <w:cantSplit/>
          <w:trHeight w:val="269"/>
        </w:trPr>
        <w:tc>
          <w:tcPr>
            <w:tcW w:w="6925" w:type="dxa"/>
            <w:shd w:val="clear" w:color="auto" w:fill="auto"/>
          </w:tcPr>
          <w:p w14:paraId="3C8C7C1E" w14:textId="070BCDF7"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748259DF" w14:textId="6AE92C02"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109D0563" w14:textId="77777777" w:rsidTr="009A66F5">
        <w:trPr>
          <w:cantSplit/>
          <w:trHeight w:val="299"/>
        </w:trPr>
        <w:tc>
          <w:tcPr>
            <w:tcW w:w="6925" w:type="dxa"/>
            <w:shd w:val="clear" w:color="auto" w:fill="auto"/>
          </w:tcPr>
          <w:p w14:paraId="78B63432" w14:textId="17AD9F2E" w:rsidR="00170F99" w:rsidRPr="008072BF" w:rsidRDefault="00170F99" w:rsidP="00170F99">
            <w:pPr>
              <w:rPr>
                <w:rFonts w:ascii="National Book" w:eastAsia="Calibri" w:hAnsi="National Book" w:cs="Calibri"/>
                <w:bCs/>
                <w:color w:val="1F3864" w:themeColor="accent1" w:themeShade="80"/>
                <w:sz w:val="20"/>
                <w:szCs w:val="20"/>
              </w:rPr>
            </w:pPr>
            <w:r w:rsidRPr="008072BF">
              <w:rPr>
                <w:rFonts w:ascii="National Book" w:eastAsia="Calibri" w:hAnsi="National Book" w:cs="Calibri"/>
                <w:bCs/>
                <w:color w:val="1F3864" w:themeColor="accent1" w:themeShade="80"/>
                <w:sz w:val="20"/>
                <w:szCs w:val="20"/>
              </w:rPr>
              <w:t>Specialization Area Course</w:t>
            </w:r>
            <w:r w:rsidRPr="008072BF">
              <w:rPr>
                <w:rFonts w:ascii="National Book" w:eastAsia="Calibri" w:hAnsi="National Book" w:cs="Calibri"/>
                <w:bCs/>
                <w:color w:val="1F3864" w:themeColor="accent1" w:themeShade="80"/>
                <w:sz w:val="20"/>
                <w:szCs w:val="20"/>
                <w:vertAlign w:val="superscript"/>
              </w:rPr>
              <w:t xml:space="preserve"> 4 </w:t>
            </w:r>
            <w:r w:rsidRPr="008072BF">
              <w:rPr>
                <w:rFonts w:ascii="National Book" w:eastAsia="Calibri" w:hAnsi="National Book" w:cs="Calibri"/>
                <w:bCs/>
                <w:color w:val="1F3864" w:themeColor="accent1" w:themeShade="80"/>
                <w:sz w:val="20"/>
                <w:szCs w:val="20"/>
              </w:rPr>
              <w:t>(Upper-Division)</w:t>
            </w:r>
          </w:p>
        </w:tc>
        <w:tc>
          <w:tcPr>
            <w:tcW w:w="2250" w:type="dxa"/>
            <w:shd w:val="clear" w:color="auto" w:fill="auto"/>
          </w:tcPr>
          <w:p w14:paraId="00FD4DC4" w14:textId="4368303A" w:rsidR="00170F99" w:rsidRPr="008072BF" w:rsidRDefault="00170F99" w:rsidP="00170F99">
            <w:pPr>
              <w:jc w:val="center"/>
              <w:rPr>
                <w:rFonts w:ascii="National Book" w:eastAsia="Calibri" w:hAnsi="National Book" w:cs="Calibri"/>
                <w:color w:val="1F3864" w:themeColor="accent1" w:themeShade="80"/>
                <w:sz w:val="20"/>
                <w:szCs w:val="20"/>
              </w:rPr>
            </w:pPr>
            <w:r w:rsidRPr="008072BF">
              <w:rPr>
                <w:rFonts w:ascii="National Book" w:eastAsia="Calibri" w:hAnsi="National Book" w:cs="Calibri"/>
                <w:color w:val="1F3864" w:themeColor="accent1" w:themeShade="80"/>
                <w:sz w:val="20"/>
                <w:szCs w:val="20"/>
              </w:rPr>
              <w:t>3</w:t>
            </w:r>
          </w:p>
        </w:tc>
      </w:tr>
      <w:tr w:rsidR="00170F99" w:rsidRPr="00EE6A3C" w14:paraId="40797B2D" w14:textId="77777777" w:rsidTr="009A66F5">
        <w:trPr>
          <w:cantSplit/>
          <w:trHeight w:val="616"/>
        </w:trPr>
        <w:tc>
          <w:tcPr>
            <w:tcW w:w="9175" w:type="dxa"/>
            <w:gridSpan w:val="2"/>
            <w:shd w:val="clear" w:color="auto" w:fill="002060"/>
          </w:tcPr>
          <w:p w14:paraId="7EDF0F3F" w14:textId="0110E76A" w:rsidR="00170F99" w:rsidRPr="008072BF" w:rsidRDefault="00170F99" w:rsidP="00170F99">
            <w:pPr>
              <w:jc w:val="center"/>
              <w:rPr>
                <w:rFonts w:ascii="National Book" w:eastAsia="Calibri" w:hAnsi="National Book" w:cs="Times New Roman"/>
                <w:b/>
                <w:color w:val="FFFFFF"/>
                <w:sz w:val="24"/>
                <w:szCs w:val="24"/>
              </w:rPr>
            </w:pPr>
            <w:r w:rsidRPr="008072BF">
              <w:rPr>
                <w:rFonts w:ascii="National Book" w:eastAsia="Calibri" w:hAnsi="National Book" w:cs="Times New Roman"/>
                <w:b/>
                <w:color w:val="FFFFFF"/>
                <w:sz w:val="24"/>
                <w:szCs w:val="24"/>
              </w:rPr>
              <w:t xml:space="preserve">121 TOTAL CREDIT HOURS TO COMPLETE BTAS FROM KSU, </w:t>
            </w:r>
          </w:p>
          <w:p w14:paraId="72E46EBF" w14:textId="26F778B9" w:rsidR="00170F99" w:rsidRPr="008072BF" w:rsidRDefault="00170F99" w:rsidP="00170F99">
            <w:pPr>
              <w:jc w:val="center"/>
              <w:rPr>
                <w:rFonts w:ascii="National Book" w:eastAsia="Calibri" w:hAnsi="National Book" w:cs="Times New Roman"/>
                <w:b/>
                <w:sz w:val="24"/>
                <w:szCs w:val="24"/>
              </w:rPr>
            </w:pPr>
            <w:r w:rsidRPr="008072BF">
              <w:rPr>
                <w:rFonts w:ascii="National Book" w:eastAsia="Calibri" w:hAnsi="National Book" w:cs="Times New Roman"/>
                <w:b/>
                <w:color w:val="FFFFFF"/>
                <w:sz w:val="24"/>
                <w:szCs w:val="24"/>
              </w:rPr>
              <w:t>INCLUDING TRANSFER COURSEWORK</w:t>
            </w:r>
          </w:p>
        </w:tc>
      </w:tr>
    </w:tbl>
    <w:p w14:paraId="7C890567" w14:textId="2DC2CFD3" w:rsidR="00170F99" w:rsidRPr="00170F99" w:rsidRDefault="00170F99" w:rsidP="00170F99">
      <w:pPr>
        <w:rPr>
          <w:rFonts w:ascii="National Book" w:hAnsi="National Book" w:cs="Arial"/>
          <w:color w:val="002060"/>
          <w:sz w:val="18"/>
          <w:szCs w:val="18"/>
        </w:rPr>
      </w:pPr>
      <w:r w:rsidRPr="00170F99">
        <w:rPr>
          <w:rFonts w:ascii="National Book" w:hAnsi="National Book" w:cs="Arial"/>
          <w:color w:val="002060"/>
          <w:sz w:val="18"/>
          <w:szCs w:val="18"/>
          <w:vertAlign w:val="superscript"/>
        </w:rPr>
        <w:t xml:space="preserve">1 </w:t>
      </w:r>
      <w:r w:rsidRPr="00170F99">
        <w:rPr>
          <w:rFonts w:ascii="National Book" w:hAnsi="National Book" w:cs="Arial"/>
          <w:color w:val="002060"/>
          <w:sz w:val="18"/>
          <w:szCs w:val="18"/>
        </w:rPr>
        <w:t>The internship or practicum allows students to gain workplace skills and real-world experience in their chosen field. Students with prior work, internship, practicum, student teaching and/or field experience may be waived the internship/practicum requirement with approval by the program coordinator.</w:t>
      </w:r>
    </w:p>
    <w:p w14:paraId="2FA14425" w14:textId="77777777" w:rsidR="00170F99" w:rsidRPr="00170F99" w:rsidRDefault="00170F99" w:rsidP="00170F99">
      <w:pPr>
        <w:rPr>
          <w:rFonts w:ascii="National Book" w:hAnsi="National Book" w:cs="Arial"/>
          <w:color w:val="002060"/>
          <w:sz w:val="18"/>
          <w:szCs w:val="18"/>
        </w:rPr>
      </w:pPr>
    </w:p>
    <w:p w14:paraId="58BFFF81" w14:textId="77777777" w:rsidR="00170F99" w:rsidRPr="00170F99" w:rsidRDefault="00170F99" w:rsidP="00170F99">
      <w:pPr>
        <w:rPr>
          <w:rFonts w:ascii="National Book" w:hAnsi="National Book" w:cs="Arial"/>
          <w:color w:val="002060"/>
          <w:sz w:val="18"/>
          <w:szCs w:val="18"/>
        </w:rPr>
      </w:pPr>
      <w:r w:rsidRPr="00170F99">
        <w:rPr>
          <w:rFonts w:ascii="National Book" w:hAnsi="National Book" w:cs="Arial"/>
          <w:color w:val="002060"/>
          <w:sz w:val="18"/>
          <w:szCs w:val="18"/>
          <w:vertAlign w:val="superscript"/>
        </w:rPr>
        <w:t>2</w:t>
      </w:r>
      <w:r w:rsidRPr="00170F99">
        <w:rPr>
          <w:rFonts w:ascii="National Book" w:hAnsi="National Book" w:cs="Arial"/>
          <w:color w:val="002060"/>
          <w:sz w:val="18"/>
          <w:szCs w:val="18"/>
        </w:rPr>
        <w:t xml:space="preserve"> In </w:t>
      </w:r>
      <w:hyperlink r:id="rId13" w:tooltip="TAS 37900" w:history="1">
        <w:r w:rsidRPr="00170F99">
          <w:rPr>
            <w:rStyle w:val="Hyperlink"/>
            <w:rFonts w:ascii="National Book" w:hAnsi="National Book" w:cs="Arial"/>
            <w:color w:val="002060"/>
            <w:sz w:val="18"/>
            <w:szCs w:val="18"/>
            <w:u w:val="none"/>
          </w:rPr>
          <w:t>TAS 37900</w:t>
        </w:r>
      </w:hyperlink>
      <w:r w:rsidRPr="00170F99">
        <w:rPr>
          <w:rFonts w:ascii="National Book" w:hAnsi="National Book" w:cs="Arial"/>
          <w:color w:val="002060"/>
          <w:sz w:val="18"/>
          <w:szCs w:val="18"/>
        </w:rPr>
        <w:t>, students construct a meaningful career management plan to explore and prepare for their preferred professional goals.</w:t>
      </w:r>
    </w:p>
    <w:p w14:paraId="58B9DD51" w14:textId="77777777" w:rsidR="00170F99" w:rsidRPr="00170F99" w:rsidRDefault="00170F99" w:rsidP="00170F99">
      <w:pPr>
        <w:rPr>
          <w:rFonts w:ascii="National Book" w:hAnsi="National Book" w:cs="Arial"/>
          <w:b/>
          <w:bCs/>
          <w:color w:val="002060"/>
          <w:sz w:val="18"/>
          <w:szCs w:val="18"/>
        </w:rPr>
      </w:pPr>
    </w:p>
    <w:p w14:paraId="6D6C4404" w14:textId="77777777" w:rsidR="00170F99" w:rsidRPr="00170F99" w:rsidRDefault="00170F99" w:rsidP="00170F99">
      <w:pPr>
        <w:rPr>
          <w:rFonts w:ascii="National Book" w:hAnsi="National Book" w:cs="Arial"/>
          <w:color w:val="002060"/>
          <w:sz w:val="18"/>
          <w:szCs w:val="18"/>
        </w:rPr>
      </w:pPr>
      <w:r w:rsidRPr="00170F99">
        <w:rPr>
          <w:rFonts w:ascii="National Book" w:hAnsi="National Book" w:cs="Arial"/>
          <w:b/>
          <w:bCs/>
          <w:color w:val="002060"/>
          <w:sz w:val="18"/>
          <w:szCs w:val="18"/>
          <w:vertAlign w:val="superscript"/>
        </w:rPr>
        <w:t>3</w:t>
      </w:r>
      <w:r w:rsidRPr="00170F99">
        <w:rPr>
          <w:rFonts w:ascii="National Book" w:hAnsi="National Book" w:cs="Arial"/>
          <w:b/>
          <w:bCs/>
          <w:color w:val="002060"/>
          <w:sz w:val="18"/>
          <w:szCs w:val="18"/>
        </w:rPr>
        <w:t xml:space="preserve"> </w:t>
      </w:r>
      <w:r w:rsidRPr="00170F99">
        <w:rPr>
          <w:rFonts w:ascii="National Book" w:hAnsi="National Book" w:cs="Arial"/>
          <w:color w:val="002060"/>
          <w:sz w:val="18"/>
          <w:szCs w:val="18"/>
        </w:rPr>
        <w:t>TAS 47999, taken near the end of the program, synthesizes learning and focuses on foundational competencies in the form of service or experiential learning, a discipline-specific research project and the development of an academic/career e-portfolio. A minimum C grade must be earned to fulfill the writing-intensive requirement.</w:t>
      </w:r>
    </w:p>
    <w:p w14:paraId="6D7A3441" w14:textId="77777777" w:rsidR="00170F99" w:rsidRPr="00170F99" w:rsidRDefault="00170F99" w:rsidP="00170F99">
      <w:pPr>
        <w:rPr>
          <w:rFonts w:ascii="National Book" w:hAnsi="National Book" w:cs="Arial"/>
          <w:color w:val="002060"/>
          <w:sz w:val="18"/>
          <w:szCs w:val="18"/>
        </w:rPr>
      </w:pPr>
    </w:p>
    <w:p w14:paraId="0433838C" w14:textId="77777777" w:rsidR="00170F99" w:rsidRPr="00170F99" w:rsidRDefault="00170F99" w:rsidP="00170F99">
      <w:pPr>
        <w:rPr>
          <w:rFonts w:ascii="National Book" w:hAnsi="National Book" w:cs="Arial"/>
          <w:color w:val="1F3864" w:themeColor="accent1" w:themeShade="80"/>
          <w:sz w:val="18"/>
          <w:szCs w:val="18"/>
        </w:rPr>
      </w:pPr>
      <w:r w:rsidRPr="00170F99">
        <w:rPr>
          <w:rFonts w:ascii="National Book" w:hAnsi="National Book" w:cs="Arial"/>
          <w:color w:val="1F3864" w:themeColor="accent1" w:themeShade="80"/>
          <w:sz w:val="18"/>
          <w:szCs w:val="18"/>
          <w:vertAlign w:val="superscript"/>
        </w:rPr>
        <w:t>4</w:t>
      </w:r>
      <w:r w:rsidRPr="00170F99">
        <w:rPr>
          <w:rFonts w:ascii="National Book" w:hAnsi="National Book" w:cs="Arial"/>
          <w:color w:val="1F3864" w:themeColor="accent1" w:themeShade="80"/>
          <w:sz w:val="18"/>
          <w:szCs w:val="18"/>
        </w:rPr>
        <w:t xml:space="preserve"> In collaboration with an advisor, students develop a plan of study for two to three specializations that draw on transferred, completed and available Kent State coursework. Students select from a flexible and robust core of skills- and knowledge-based courses - bridging multiple disciplines - to develop a tailored option to best benefit and further professional goals. A faculty member approves the student’s specializations to ensure they meet the student's needs. Two of the three specialization areas may be from the same discipline. One specialization must be distinct.</w:t>
      </w:r>
    </w:p>
    <w:p w14:paraId="474A54EC" w14:textId="77777777" w:rsidR="00170F99" w:rsidRPr="00170F99" w:rsidRDefault="00170F99" w:rsidP="00170F99">
      <w:pPr>
        <w:rPr>
          <w:rFonts w:ascii="National Book" w:hAnsi="National Book" w:cs="Arial"/>
          <w:color w:val="1F3864" w:themeColor="accent1" w:themeShade="80"/>
          <w:sz w:val="18"/>
          <w:szCs w:val="18"/>
        </w:rPr>
      </w:pPr>
    </w:p>
    <w:p w14:paraId="5FBD0BA0" w14:textId="2F7CFD07" w:rsidR="00B5565D" w:rsidRPr="00170F99" w:rsidRDefault="00170F99" w:rsidP="00B5565D">
      <w:pPr>
        <w:rPr>
          <w:rFonts w:ascii="National Book" w:hAnsi="National Book" w:cs="Arial"/>
          <w:color w:val="1F3864" w:themeColor="accent1" w:themeShade="80"/>
          <w:sz w:val="18"/>
          <w:szCs w:val="18"/>
        </w:rPr>
      </w:pPr>
      <w:r w:rsidRPr="00170F99">
        <w:rPr>
          <w:rFonts w:ascii="National Book" w:hAnsi="National Book" w:cs="Arial"/>
          <w:color w:val="1F3864" w:themeColor="accent1" w:themeShade="80"/>
          <w:sz w:val="18"/>
          <w:szCs w:val="18"/>
        </w:rPr>
        <w:t xml:space="preserve">@ Course may be taken at Eastern Gateway Community College and transferred to Kent State. However, please be aware of Kent State’s </w:t>
      </w:r>
      <w:hyperlink r:id="rId14" w:history="1">
        <w:r w:rsidRPr="00170F99">
          <w:rPr>
            <w:rStyle w:val="Hyperlink"/>
            <w:rFonts w:ascii="National Book" w:hAnsi="National Book" w:cs="Arial"/>
            <w:sz w:val="18"/>
            <w:szCs w:val="18"/>
          </w:rPr>
          <w:t>residence policy</w:t>
        </w:r>
      </w:hyperlink>
      <w:r w:rsidRPr="00170F99">
        <w:rPr>
          <w:rFonts w:ascii="National Book" w:hAnsi="National Book" w:cs="Arial"/>
          <w:color w:val="1F3864" w:themeColor="accent1" w:themeShade="80"/>
          <w:sz w:val="18"/>
          <w:szCs w:val="18"/>
        </w:rPr>
        <w:t>, which can be found in the Kent State University Catalog.</w:t>
      </w:r>
    </w:p>
    <w:p w14:paraId="7C7E46C9" w14:textId="77777777" w:rsidR="00170F99" w:rsidRDefault="00170F99" w:rsidP="00B5565D">
      <w:pPr>
        <w:rPr>
          <w:rFonts w:ascii="National Book" w:hAnsi="National Book" w:cs="Arial"/>
          <w:color w:val="1F3864" w:themeColor="accent1" w:themeShade="80"/>
          <w:sz w:val="18"/>
          <w:szCs w:val="18"/>
        </w:rPr>
      </w:pPr>
    </w:p>
    <w:p w14:paraId="11AA0FA9" w14:textId="3CE97AD3" w:rsidR="00DD3C02" w:rsidRDefault="00420377">
      <w:pPr>
        <w:rPr>
          <w:rFonts w:ascii="National Book" w:hAnsi="National Book" w:cs="Arial"/>
          <w:color w:val="1F3864" w:themeColor="accent1" w:themeShade="80"/>
        </w:rPr>
      </w:pPr>
      <w:r w:rsidRPr="00170F99">
        <w:rPr>
          <w:rFonts w:ascii="National Book" w:hAnsi="National Book" w:cs="Arial"/>
          <w:color w:val="1F3864" w:themeColor="accent1" w:themeShade="80"/>
          <w:sz w:val="18"/>
          <w:szCs w:val="18"/>
        </w:rPr>
        <w:t>*</w:t>
      </w:r>
      <w:r w:rsidRPr="00170F99">
        <w:rPr>
          <w:rFonts w:ascii="National Book" w:hAnsi="National Book"/>
          <w:color w:val="1F3864" w:themeColor="accent1" w:themeShade="80"/>
          <w:sz w:val="18"/>
          <w:szCs w:val="18"/>
        </w:rPr>
        <w:t xml:space="preserve"> Minimum one course must be selected from the area (KHUM), and minimum one course must be selected from the Fine Arts area (KFA). Please consult the </w:t>
      </w:r>
      <w:hyperlink r:id="rId15" w:history="1">
        <w:r w:rsidRPr="00170F99">
          <w:rPr>
            <w:rStyle w:val="Hyperlink"/>
            <w:rFonts w:ascii="National Book" w:hAnsi="National Book"/>
            <w:sz w:val="18"/>
            <w:szCs w:val="18"/>
          </w:rPr>
          <w:t>Transfer Credit Guide</w:t>
        </w:r>
      </w:hyperlink>
      <w:r w:rsidRPr="00170F99">
        <w:rPr>
          <w:rFonts w:ascii="National Book" w:hAnsi="National Book"/>
          <w:color w:val="1F3864" w:themeColor="accent1" w:themeShade="80"/>
          <w:sz w:val="18"/>
          <w:szCs w:val="18"/>
        </w:rPr>
        <w:t>.</w:t>
      </w:r>
    </w:p>
    <w:p w14:paraId="1ECD169E" w14:textId="7C54C67B" w:rsidR="00773A51" w:rsidRPr="00DD3C02" w:rsidRDefault="00773A51">
      <w:pPr>
        <w:rPr>
          <w:rFonts w:ascii="National Book" w:hAnsi="National Book" w:cs="Arial"/>
          <w:color w:val="1F3864" w:themeColor="accent1" w:themeShade="80"/>
          <w:sz w:val="144"/>
          <w:szCs w:val="144"/>
        </w:rPr>
      </w:pPr>
    </w:p>
    <w:p w14:paraId="3C18F38D" w14:textId="606FD054" w:rsidR="00773A51" w:rsidRPr="008072BF" w:rsidRDefault="008072BF" w:rsidP="008072BF">
      <w:pPr>
        <w:pStyle w:val="Heading1"/>
        <w:jc w:val="left"/>
        <w:rPr>
          <w:rFonts w:ascii="National Black" w:hAnsi="National Black"/>
        </w:rPr>
      </w:pPr>
      <w:r w:rsidRPr="008072BF">
        <w:rPr>
          <w:rFonts w:ascii="National Black" w:hAnsi="National Black"/>
          <w:color w:val="002060"/>
          <w:sz w:val="44"/>
          <w:szCs w:val="44"/>
        </w:rPr>
        <w:t>Graduation Requirements</w:t>
      </w:r>
    </w:p>
    <w:p w14:paraId="7156AEB8" w14:textId="2202BD4D" w:rsidR="00B5565D" w:rsidRPr="00B13220" w:rsidRDefault="00B5565D" w:rsidP="00B5565D">
      <w:pPr>
        <w:rPr>
          <w:rFonts w:ascii="National Book" w:hAnsi="National Book" w:cs="Arial"/>
          <w:color w:val="1F3864" w:themeColor="accent1" w:themeShade="80"/>
        </w:rPr>
      </w:pPr>
      <w:r w:rsidRPr="00B13220">
        <w:rPr>
          <w:rFonts w:ascii="National Book" w:hAnsi="National Book" w:cs="Arial"/>
          <w:color w:val="1F3864" w:themeColor="accent1" w:themeShade="80"/>
        </w:rPr>
        <w:t xml:space="preserve">Requirements to graduate with the </w:t>
      </w:r>
      <w:r>
        <w:rPr>
          <w:rFonts w:ascii="National Book" w:hAnsi="National Book" w:cs="Arial"/>
          <w:color w:val="1F3864" w:themeColor="accent1" w:themeShade="80"/>
        </w:rPr>
        <w:t xml:space="preserve">Bachelor of Technical and Applied Studies </w:t>
      </w:r>
      <w:r w:rsidRPr="00B13220">
        <w:rPr>
          <w:rFonts w:ascii="National Book" w:hAnsi="National Book" w:cs="Arial"/>
          <w:color w:val="1F3864" w:themeColor="accent1" w:themeShade="80"/>
        </w:rPr>
        <w:t xml:space="preserve">degree program: </w:t>
      </w:r>
      <w:r w:rsidRPr="009E3187">
        <w:rPr>
          <w:rFonts w:ascii="National Book" w:hAnsi="National Book" w:cs="Arial"/>
          <w:color w:val="1F3864" w:themeColor="accent1" w:themeShade="80"/>
        </w:rPr>
        <w:t>To graduate, students must have minimum 120 credit hours, 39 upper-division credit hours of coursework, a minimum 2.</w:t>
      </w:r>
      <w:r w:rsidR="00420377">
        <w:rPr>
          <w:rFonts w:ascii="National Book" w:hAnsi="National Book" w:cs="Arial"/>
          <w:color w:val="1F3864" w:themeColor="accent1" w:themeShade="80"/>
        </w:rPr>
        <w:t>0</w:t>
      </w:r>
      <w:r w:rsidR="00170F99">
        <w:rPr>
          <w:rFonts w:ascii="National Book" w:hAnsi="National Book" w:cs="Arial"/>
          <w:color w:val="1F3864" w:themeColor="accent1" w:themeShade="80"/>
        </w:rPr>
        <w:t>0</w:t>
      </w:r>
      <w:r w:rsidRPr="009E3187">
        <w:rPr>
          <w:rFonts w:ascii="National Book" w:hAnsi="National Book" w:cs="Arial"/>
          <w:color w:val="1F3864" w:themeColor="accent1" w:themeShade="80"/>
        </w:rPr>
        <w:t>0 major GPA and minimum 2.</w:t>
      </w:r>
      <w:r w:rsidR="00420377">
        <w:rPr>
          <w:rFonts w:ascii="National Book" w:hAnsi="National Book" w:cs="Arial"/>
          <w:color w:val="1F3864" w:themeColor="accent1" w:themeShade="80"/>
        </w:rPr>
        <w:t>0</w:t>
      </w:r>
      <w:r w:rsidRPr="009E3187">
        <w:rPr>
          <w:rFonts w:ascii="National Book" w:hAnsi="National Book" w:cs="Arial"/>
          <w:color w:val="1F3864" w:themeColor="accent1" w:themeShade="80"/>
        </w:rPr>
        <w:t>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2579C587" w14:textId="77777777" w:rsidR="00B5565D" w:rsidRPr="00B13220" w:rsidRDefault="00B5565D" w:rsidP="00B5565D">
      <w:pPr>
        <w:rPr>
          <w:rFonts w:ascii="National Book" w:hAnsi="National Book" w:cs="Arial"/>
          <w:color w:val="1F3864" w:themeColor="accent1" w:themeShade="80"/>
        </w:rPr>
      </w:pPr>
    </w:p>
    <w:p w14:paraId="4B9B891C" w14:textId="77777777" w:rsidR="00B5565D" w:rsidRPr="00B13220" w:rsidRDefault="00B5565D" w:rsidP="00B5565D">
      <w:pPr>
        <w:rPr>
          <w:rFonts w:ascii="National Book" w:hAnsi="National Book" w:cs="Arial"/>
          <w:color w:val="1F3864" w:themeColor="accent1" w:themeShade="80"/>
        </w:rPr>
      </w:pPr>
      <w:r w:rsidRPr="00B13220">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8E7D270" w14:textId="77777777" w:rsidR="00B5565D" w:rsidRPr="00B13220" w:rsidRDefault="00B5565D" w:rsidP="00B5565D">
      <w:pPr>
        <w:rPr>
          <w:rFonts w:ascii="National Book" w:hAnsi="National Book" w:cs="Arial"/>
          <w:color w:val="1F3864" w:themeColor="accent1" w:themeShade="80"/>
        </w:rPr>
      </w:pPr>
    </w:p>
    <w:p w14:paraId="79C0D2FA" w14:textId="34F0E3F9" w:rsidR="00EE114A" w:rsidRPr="00EE114A" w:rsidRDefault="00B5565D" w:rsidP="00B5565D">
      <w:r w:rsidRPr="00B13220">
        <w:rPr>
          <w:rFonts w:ascii="National Book" w:hAnsi="National Book" w:cs="Arial"/>
          <w:color w:val="1F3864" w:themeColor="accent1" w:themeShade="80"/>
        </w:rPr>
        <w:t xml:space="preserve">It is recommended that students intending to pursue the </w:t>
      </w:r>
      <w:r>
        <w:rPr>
          <w:rFonts w:ascii="National Book" w:hAnsi="National Book" w:cs="Arial"/>
          <w:color w:val="1F3864" w:themeColor="accent1" w:themeShade="80"/>
        </w:rPr>
        <w:t xml:space="preserve">Bachelor of Technical and Applied Studies </w:t>
      </w:r>
      <w:r w:rsidRPr="00B13220">
        <w:rPr>
          <w:rFonts w:ascii="National Book" w:hAnsi="National Book" w:cs="Arial"/>
          <w:color w:val="1F3864" w:themeColor="accent1" w:themeShade="80"/>
        </w:rPr>
        <w:t xml:space="preserve">through Kent State University consult with academic advisors at both </w:t>
      </w:r>
      <w:r>
        <w:rPr>
          <w:rFonts w:ascii="National Book" w:hAnsi="National Book" w:cs="Arial"/>
          <w:color w:val="1F3864" w:themeColor="accent1" w:themeShade="80"/>
        </w:rPr>
        <w:t>Eastern Gateway</w:t>
      </w:r>
      <w:r w:rsidRPr="00B13220">
        <w:rPr>
          <w:rFonts w:ascii="National Book" w:hAnsi="National Book" w:cs="Arial"/>
          <w:color w:val="1F3864" w:themeColor="accent1" w:themeShade="80"/>
        </w:rPr>
        <w:t xml:space="preserve"> Community College and Kent State University.</w:t>
      </w:r>
    </w:p>
    <w:p w14:paraId="1BF1AF8D" w14:textId="6869B5E9" w:rsidR="00EE114A" w:rsidRPr="00EE114A" w:rsidRDefault="00EE114A" w:rsidP="00EE114A"/>
    <w:p w14:paraId="46D9ABF5" w14:textId="77777777" w:rsidR="00DD3C02" w:rsidRPr="000A6D55" w:rsidRDefault="00DD3C02" w:rsidP="00DD3C02">
      <w:pPr>
        <w:pStyle w:val="NoSpacing"/>
        <w:rPr>
          <w:rFonts w:ascii="National Bold Italic" w:hAnsi="National Bold Italic"/>
          <w:b/>
          <w:color w:val="1F3864" w:themeColor="accent1" w:themeShade="80"/>
          <w:sz w:val="32"/>
          <w:szCs w:val="32"/>
        </w:rPr>
      </w:pPr>
      <w:r w:rsidRPr="000A6D55">
        <w:rPr>
          <w:rFonts w:ascii="National Bold Italic" w:hAnsi="National Bold Italic"/>
          <w:b/>
          <w:color w:val="1F3864" w:themeColor="accent1" w:themeShade="80"/>
          <w:sz w:val="32"/>
          <w:szCs w:val="32"/>
        </w:rPr>
        <w:t>Contact Information:</w:t>
      </w:r>
    </w:p>
    <w:p w14:paraId="27A6A3A2" w14:textId="77777777" w:rsidR="00DD3C02" w:rsidRPr="000A6D55" w:rsidRDefault="00DD3C02" w:rsidP="00DD3C02">
      <w:pPr>
        <w:pStyle w:val="NoSpacing"/>
        <w:rPr>
          <w:rFonts w:ascii="National Bold Italic" w:hAnsi="National Bold Italic"/>
          <w:color w:val="1F3864" w:themeColor="accent1" w:themeShade="80"/>
          <w:sz w:val="32"/>
          <w:szCs w:val="32"/>
        </w:rPr>
      </w:pPr>
    </w:p>
    <w:p w14:paraId="3EE03839" w14:textId="77777777" w:rsidR="00DD3C02" w:rsidRPr="000A6D55" w:rsidRDefault="00DD3C02" w:rsidP="00DD3C02">
      <w:pPr>
        <w:pStyle w:val="NoSpacing"/>
        <w:rPr>
          <w:rFonts w:ascii="National Bold Italic" w:hAnsi="National Bold Italic"/>
          <w:color w:val="1F3864" w:themeColor="accent1" w:themeShade="80"/>
          <w:sz w:val="28"/>
          <w:szCs w:val="28"/>
        </w:rPr>
      </w:pPr>
      <w:r w:rsidRPr="000A6D55">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p>
    <w:p w14:paraId="3AD9A94A" w14:textId="77777777" w:rsidR="00DD3C02" w:rsidRPr="00F14ACE" w:rsidRDefault="00DD3C02" w:rsidP="00DD3C02">
      <w:pPr>
        <w:pStyle w:val="NoSpacing"/>
        <w:rPr>
          <w:rFonts w:ascii="National Book" w:hAnsi="National Book"/>
          <w:color w:val="1F3864" w:themeColor="accent1" w:themeShade="80"/>
          <w:sz w:val="24"/>
          <w:szCs w:val="24"/>
        </w:rPr>
      </w:pPr>
      <w:r w:rsidRPr="00F14ACE">
        <w:rPr>
          <w:rFonts w:ascii="National Book" w:hAnsi="National Book"/>
          <w:color w:val="1F3864" w:themeColor="accent1" w:themeShade="80"/>
          <w:sz w:val="24"/>
          <w:szCs w:val="24"/>
        </w:rPr>
        <w:t>Donald Bean</w:t>
      </w:r>
    </w:p>
    <w:p w14:paraId="4B4059C5" w14:textId="675585E6" w:rsidR="00DD3C02" w:rsidRPr="00F14ACE" w:rsidRDefault="00DD3C02" w:rsidP="00DD3C02">
      <w:pPr>
        <w:pStyle w:val="NoSpacing"/>
        <w:rPr>
          <w:rFonts w:ascii="National Book" w:hAnsi="National Book"/>
          <w:color w:val="1F3864" w:themeColor="accent1" w:themeShade="80"/>
          <w:sz w:val="24"/>
          <w:szCs w:val="24"/>
        </w:rPr>
      </w:pPr>
      <w:r w:rsidRPr="00F14ACE">
        <w:rPr>
          <w:rFonts w:ascii="National Book" w:hAnsi="National Book"/>
          <w:color w:val="1F3864" w:themeColor="accent1" w:themeShade="80"/>
          <w:sz w:val="24"/>
          <w:szCs w:val="24"/>
        </w:rPr>
        <w:t>Director</w:t>
      </w:r>
      <w:r w:rsidR="000710C1">
        <w:rPr>
          <w:rFonts w:ascii="National Book" w:hAnsi="National Book"/>
          <w:color w:val="1F3864" w:themeColor="accent1" w:themeShade="80"/>
          <w:sz w:val="24"/>
          <w:szCs w:val="24"/>
        </w:rPr>
        <w:t xml:space="preserve"> I</w:t>
      </w:r>
      <w:r w:rsidRPr="00F14ACE">
        <w:rPr>
          <w:rFonts w:ascii="National Book" w:hAnsi="National Book"/>
          <w:color w:val="1F3864" w:themeColor="accent1" w:themeShade="80"/>
          <w:sz w:val="24"/>
          <w:szCs w:val="24"/>
        </w:rPr>
        <w:t xml:space="preserve"> of EMSS</w:t>
      </w:r>
    </w:p>
    <w:p w14:paraId="7EC0A4E4" w14:textId="77777777" w:rsidR="00DD3C02" w:rsidRPr="00F14ACE" w:rsidRDefault="00DD3C02" w:rsidP="00DD3C02">
      <w:pPr>
        <w:pStyle w:val="NoSpacing"/>
        <w:rPr>
          <w:rFonts w:ascii="National Book" w:hAnsi="National Book"/>
          <w:color w:val="1F3864" w:themeColor="accent1" w:themeShade="80"/>
          <w:sz w:val="24"/>
          <w:szCs w:val="24"/>
        </w:rPr>
      </w:pPr>
      <w:r w:rsidRPr="00F14ACE">
        <w:rPr>
          <w:rFonts w:ascii="National Book" w:hAnsi="National Book"/>
          <w:color w:val="1F3864" w:themeColor="accent1" w:themeShade="80"/>
          <w:sz w:val="24"/>
          <w:szCs w:val="24"/>
        </w:rPr>
        <w:t>East Liverpool Campus</w:t>
      </w:r>
    </w:p>
    <w:p w14:paraId="3F82C639" w14:textId="77777777" w:rsidR="00DD3C02" w:rsidRPr="00F14ACE" w:rsidRDefault="00DD3C02" w:rsidP="00DD3C02">
      <w:pPr>
        <w:pStyle w:val="NoSpacing"/>
        <w:rPr>
          <w:rFonts w:ascii="National Book" w:hAnsi="National Book"/>
          <w:color w:val="1F3864" w:themeColor="accent1" w:themeShade="80"/>
          <w:sz w:val="24"/>
          <w:szCs w:val="24"/>
        </w:rPr>
      </w:pPr>
      <w:r w:rsidRPr="00F14ACE">
        <w:rPr>
          <w:rFonts w:ascii="National Book" w:hAnsi="National Book"/>
          <w:color w:val="1F3864" w:themeColor="accent1" w:themeShade="80"/>
          <w:sz w:val="24"/>
          <w:szCs w:val="24"/>
        </w:rPr>
        <w:t>330-382-7414</w:t>
      </w:r>
    </w:p>
    <w:p w14:paraId="16FB5B3E" w14:textId="77777777" w:rsidR="00DD3C02" w:rsidRPr="00F14ACE" w:rsidRDefault="00000000" w:rsidP="00DD3C02">
      <w:pPr>
        <w:pStyle w:val="NoSpacing"/>
        <w:rPr>
          <w:rFonts w:ascii="National Book" w:hAnsi="National Book"/>
          <w:color w:val="1F3864" w:themeColor="accent1" w:themeShade="80"/>
          <w:sz w:val="24"/>
          <w:szCs w:val="24"/>
        </w:rPr>
      </w:pPr>
      <w:hyperlink r:id="rId16" w:history="1">
        <w:r w:rsidR="00DD3C02" w:rsidRPr="00F14ACE">
          <w:rPr>
            <w:rStyle w:val="Hyperlink"/>
            <w:rFonts w:ascii="National Book" w:hAnsi="National Book"/>
            <w:sz w:val="24"/>
            <w:szCs w:val="24"/>
          </w:rPr>
          <w:t>dbean3@kent.edu</w:t>
        </w:r>
      </w:hyperlink>
    </w:p>
    <w:p w14:paraId="43E80788" w14:textId="77777777" w:rsidR="00DD3C02" w:rsidRDefault="00000000" w:rsidP="00DD3C02">
      <w:pPr>
        <w:pStyle w:val="NoSpacing"/>
        <w:rPr>
          <w:rStyle w:val="Hyperlink"/>
          <w:rFonts w:ascii="National Book" w:hAnsi="National Book"/>
          <w:sz w:val="24"/>
          <w:szCs w:val="24"/>
        </w:rPr>
      </w:pPr>
      <w:hyperlink r:id="rId17" w:history="1">
        <w:r w:rsidR="00DD3C02" w:rsidRPr="00F14ACE">
          <w:rPr>
            <w:rStyle w:val="Hyperlink"/>
            <w:rFonts w:ascii="National Book" w:hAnsi="National Book"/>
            <w:sz w:val="24"/>
            <w:szCs w:val="24"/>
          </w:rPr>
          <w:t>pathways@kent.edu</w:t>
        </w:r>
      </w:hyperlink>
    </w:p>
    <w:p w14:paraId="3775B41D" w14:textId="77777777" w:rsidR="00DD3C02" w:rsidRDefault="00DD3C02" w:rsidP="00DD3C02">
      <w:pPr>
        <w:pStyle w:val="NoSpacing"/>
        <w:rPr>
          <w:rStyle w:val="Hyperlink"/>
          <w:rFonts w:ascii="National Book" w:hAnsi="National Book"/>
          <w:sz w:val="24"/>
          <w:szCs w:val="24"/>
        </w:rPr>
      </w:pPr>
    </w:p>
    <w:p w14:paraId="2083EF06" w14:textId="77777777" w:rsidR="00DD3C02" w:rsidRDefault="00DD3C02" w:rsidP="00DD3C02">
      <w:pPr>
        <w:pStyle w:val="NoSpacing"/>
        <w:rPr>
          <w:rFonts w:ascii="National Book" w:hAnsi="National Book"/>
          <w:color w:val="1F3864" w:themeColor="accent1" w:themeShade="80"/>
          <w:sz w:val="24"/>
          <w:szCs w:val="24"/>
        </w:rPr>
      </w:pPr>
    </w:p>
    <w:p w14:paraId="351B82AB" w14:textId="5B572CDE" w:rsidR="00EE114A" w:rsidRPr="00EE114A" w:rsidRDefault="00DD3C02" w:rsidP="00DD3C02">
      <w:r w:rsidRPr="00985EF8">
        <w:rPr>
          <w:rFonts w:ascii="National Regular Italic" w:hAnsi="National Regular Italic"/>
          <w:b/>
          <w:color w:val="1F3864" w:themeColor="accent1" w:themeShade="80"/>
          <w:sz w:val="32"/>
          <w:szCs w:val="32"/>
        </w:rPr>
        <w:t xml:space="preserve">Last Updated </w:t>
      </w:r>
      <w:r>
        <w:rPr>
          <w:rFonts w:ascii="National Regular Italic" w:hAnsi="National Regular Italic"/>
          <w:b/>
          <w:color w:val="1F3864" w:themeColor="accent1" w:themeShade="80"/>
          <w:sz w:val="32"/>
          <w:szCs w:val="32"/>
        </w:rPr>
        <w:t>Ju</w:t>
      </w:r>
      <w:r w:rsidR="002E19AB">
        <w:rPr>
          <w:rFonts w:ascii="National Regular Italic" w:hAnsi="National Regular Italic"/>
          <w:b/>
          <w:color w:val="1F3864" w:themeColor="accent1" w:themeShade="80"/>
          <w:sz w:val="32"/>
          <w:szCs w:val="32"/>
        </w:rPr>
        <w:t>ly 2024</w:t>
      </w:r>
    </w:p>
    <w:sectPr w:rsidR="00EE114A" w:rsidRPr="00EE114A" w:rsidSect="00170F99">
      <w:pgSz w:w="12240" w:h="15840"/>
      <w:pgMar w:top="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National Regular">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A443F"/>
    <w:multiLevelType w:val="hybridMultilevel"/>
    <w:tmpl w:val="D480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094C11"/>
    <w:multiLevelType w:val="multilevel"/>
    <w:tmpl w:val="D38666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00020422">
    <w:abstractNumId w:val="0"/>
  </w:num>
  <w:num w:numId="2" w16cid:durableId="191686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aWI1pj1OOgm9o8UT2K2MlFyT1MnXHAjiMRb+eMYJwkURgXmOprtVVgF9kowd7IOanL9c8hFpQu7NWRE1e72Quw==" w:salt="m3+mP30vBveE7BMagHRG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TExMjE1sDQ3MTBX0lEKTi0uzszPAymwrAUAb2S8bSwAAAA="/>
  </w:docVars>
  <w:rsids>
    <w:rsidRoot w:val="00C8062C"/>
    <w:rsid w:val="000710C1"/>
    <w:rsid w:val="000778BE"/>
    <w:rsid w:val="00086415"/>
    <w:rsid w:val="000A303A"/>
    <w:rsid w:val="000C0FE5"/>
    <w:rsid w:val="000D2353"/>
    <w:rsid w:val="00122D61"/>
    <w:rsid w:val="00170F99"/>
    <w:rsid w:val="0021628C"/>
    <w:rsid w:val="00263ADB"/>
    <w:rsid w:val="002703D1"/>
    <w:rsid w:val="002716B1"/>
    <w:rsid w:val="002E19AB"/>
    <w:rsid w:val="00340E05"/>
    <w:rsid w:val="00395894"/>
    <w:rsid w:val="003A01DD"/>
    <w:rsid w:val="003A7452"/>
    <w:rsid w:val="00417C79"/>
    <w:rsid w:val="00417F7F"/>
    <w:rsid w:val="00420377"/>
    <w:rsid w:val="00480054"/>
    <w:rsid w:val="004D4192"/>
    <w:rsid w:val="00507C4C"/>
    <w:rsid w:val="005754FE"/>
    <w:rsid w:val="005B5EF4"/>
    <w:rsid w:val="00682436"/>
    <w:rsid w:val="006B6F50"/>
    <w:rsid w:val="00773A51"/>
    <w:rsid w:val="007D1D61"/>
    <w:rsid w:val="008072BF"/>
    <w:rsid w:val="00841560"/>
    <w:rsid w:val="008B32AD"/>
    <w:rsid w:val="008C4B0C"/>
    <w:rsid w:val="009248A6"/>
    <w:rsid w:val="009539B0"/>
    <w:rsid w:val="00953AAE"/>
    <w:rsid w:val="00990859"/>
    <w:rsid w:val="009A66F5"/>
    <w:rsid w:val="009B1BB9"/>
    <w:rsid w:val="009E3187"/>
    <w:rsid w:val="00A063D9"/>
    <w:rsid w:val="00A32E1F"/>
    <w:rsid w:val="00A3797A"/>
    <w:rsid w:val="00A65FBF"/>
    <w:rsid w:val="00AC64CB"/>
    <w:rsid w:val="00B3333D"/>
    <w:rsid w:val="00B5565D"/>
    <w:rsid w:val="00B60BAA"/>
    <w:rsid w:val="00B7788B"/>
    <w:rsid w:val="00C8062C"/>
    <w:rsid w:val="00C819BC"/>
    <w:rsid w:val="00CE4DB7"/>
    <w:rsid w:val="00CF2978"/>
    <w:rsid w:val="00CF3D8A"/>
    <w:rsid w:val="00D33689"/>
    <w:rsid w:val="00D522BC"/>
    <w:rsid w:val="00D54F8C"/>
    <w:rsid w:val="00D8657B"/>
    <w:rsid w:val="00DD3C02"/>
    <w:rsid w:val="00DF439D"/>
    <w:rsid w:val="00E01A70"/>
    <w:rsid w:val="00E96C21"/>
    <w:rsid w:val="00EA5533"/>
    <w:rsid w:val="00EB47DD"/>
    <w:rsid w:val="00ED12F0"/>
    <w:rsid w:val="00EE114A"/>
    <w:rsid w:val="00F0147C"/>
    <w:rsid w:val="00F152F4"/>
    <w:rsid w:val="00FE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DDDB"/>
  <w15:chartTrackingRefBased/>
  <w15:docId w15:val="{F1D31332-4176-FC4F-8391-826061E2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6F5"/>
    <w:pPr>
      <w:jc w:val="center"/>
      <w:outlineLv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11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3D1"/>
    <w:rPr>
      <w:sz w:val="22"/>
      <w:szCs w:val="22"/>
    </w:rPr>
  </w:style>
  <w:style w:type="character" w:styleId="Hyperlink">
    <w:name w:val="Hyperlink"/>
    <w:basedOn w:val="DefaultParagraphFont"/>
    <w:uiPriority w:val="99"/>
    <w:unhideWhenUsed/>
    <w:rsid w:val="002703D1"/>
    <w:rPr>
      <w:color w:val="0563C1" w:themeColor="hyperlink"/>
      <w:u w:val="single"/>
    </w:rPr>
  </w:style>
  <w:style w:type="paragraph" w:styleId="ListParagraph">
    <w:name w:val="List Paragraph"/>
    <w:basedOn w:val="Normal"/>
    <w:uiPriority w:val="34"/>
    <w:qFormat/>
    <w:rsid w:val="009E3187"/>
    <w:pPr>
      <w:ind w:left="720"/>
      <w:contextualSpacing/>
    </w:pPr>
  </w:style>
  <w:style w:type="character" w:styleId="UnresolvedMention">
    <w:name w:val="Unresolved Mention"/>
    <w:basedOn w:val="DefaultParagraphFont"/>
    <w:uiPriority w:val="99"/>
    <w:semiHidden/>
    <w:unhideWhenUsed/>
    <w:rsid w:val="0021628C"/>
    <w:rPr>
      <w:color w:val="605E5C"/>
      <w:shd w:val="clear" w:color="auto" w:fill="E1DFDD"/>
    </w:rPr>
  </w:style>
  <w:style w:type="character" w:customStyle="1" w:styleId="Heading1Char">
    <w:name w:val="Heading 1 Char"/>
    <w:basedOn w:val="DefaultParagraphFont"/>
    <w:link w:val="Heading1"/>
    <w:uiPriority w:val="9"/>
    <w:rsid w:val="009A66F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243445">
      <w:bodyDiv w:val="1"/>
      <w:marLeft w:val="0"/>
      <w:marRight w:val="0"/>
      <w:marTop w:val="0"/>
      <w:marBottom w:val="0"/>
      <w:divBdr>
        <w:top w:val="none" w:sz="0" w:space="0" w:color="auto"/>
        <w:left w:val="none" w:sz="0" w:space="0" w:color="auto"/>
        <w:bottom w:val="none" w:sz="0" w:space="0" w:color="auto"/>
        <w:right w:val="none" w:sz="0" w:space="0" w:color="auto"/>
      </w:divBdr>
    </w:div>
    <w:div w:id="1842424795">
      <w:bodyDiv w:val="1"/>
      <w:marLeft w:val="0"/>
      <w:marRight w:val="0"/>
      <w:marTop w:val="0"/>
      <w:marBottom w:val="0"/>
      <w:divBdr>
        <w:top w:val="none" w:sz="0" w:space="0" w:color="auto"/>
        <w:left w:val="none" w:sz="0" w:space="0" w:color="auto"/>
        <w:bottom w:val="none" w:sz="0" w:space="0" w:color="auto"/>
        <w:right w:val="none" w:sz="0" w:space="0" w:color="auto"/>
      </w:divBdr>
    </w:div>
    <w:div w:id="18911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search/?P=TAS%20379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mailto:dbean3@ke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edu/credittransfer/kent-state-transfer-credit-guide" TargetMode="External"/><Relationship Id="rId5" Type="http://schemas.openxmlformats.org/officeDocument/2006/relationships/numbering" Target="numbering.xml"/><Relationship Id="rId15" Type="http://schemas.openxmlformats.org/officeDocument/2006/relationships/hyperlink" Target="https://www.kent.edu/credittransfer/kent-state-transfer-credit-guide" TargetMode="External"/><Relationship Id="rId10" Type="http://schemas.openxmlformats.org/officeDocument/2006/relationships/hyperlink" Target="https://www.kent.edu/credittransfer/kent-state-transfer-credit-gui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catalog.kent.edu/academic-policies/residence-requ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BBB5-288A-4222-9FC9-DB39DB84D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60A9E-283F-4947-8D3E-10924E88D359}">
  <ds:schemaRefs>
    <ds:schemaRef ds:uri="http://schemas.microsoft.com/sharepoint/v3/contenttype/forms"/>
  </ds:schemaRefs>
</ds:datastoreItem>
</file>

<file path=customXml/itemProps3.xml><?xml version="1.0" encoding="utf-8"?>
<ds:datastoreItem xmlns:ds="http://schemas.openxmlformats.org/officeDocument/2006/customXml" ds:itemID="{8B3A969D-D66D-4C0A-9BA1-1B4F8443ACD2}">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06B44C12-DB5C-415F-A844-CC1E6DD5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1021</Words>
  <Characters>5823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11</cp:revision>
  <cp:lastPrinted>2022-06-14T13:05:00Z</cp:lastPrinted>
  <dcterms:created xsi:type="dcterms:W3CDTF">2023-06-26T12:22:00Z</dcterms:created>
  <dcterms:modified xsi:type="dcterms:W3CDTF">2024-07-12T14:35:00Z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