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BD49F" w14:textId="77777777" w:rsidR="00E20DF2" w:rsidRPr="002B1A24" w:rsidRDefault="00E20DF2" w:rsidP="00E20DF2">
      <w:pPr>
        <w:pStyle w:val="Heading1"/>
        <w:rPr>
          <w:rFonts w:ascii="Corbel" w:hAnsi="Corbel" w:cs="Calibri"/>
          <w:color w:val="1F3864"/>
          <w:sz w:val="24"/>
          <w:szCs w:val="22"/>
          <w:u w:val="single"/>
        </w:rPr>
      </w:pPr>
      <w:bookmarkStart w:id="0" w:name="ContinuingReview"/>
      <w:r w:rsidRPr="002B1A24">
        <w:rPr>
          <w:rFonts w:ascii="Corbel" w:hAnsi="Corbel" w:cs="Calibri"/>
          <w:color w:val="1F3864"/>
          <w:sz w:val="24"/>
          <w:szCs w:val="22"/>
          <w:u w:val="single"/>
        </w:rPr>
        <w:t>Continuing Review</w:t>
      </w:r>
      <w:bookmarkEnd w:id="0"/>
      <w:r w:rsidRPr="002B1A24">
        <w:rPr>
          <w:rFonts w:ascii="Corbel" w:hAnsi="Corbel" w:cs="Calibri"/>
          <w:color w:val="1F3864"/>
          <w:sz w:val="24"/>
          <w:szCs w:val="22"/>
          <w:u w:val="single"/>
        </w:rPr>
        <w:t xml:space="preserve"> of Human Subjects Research</w:t>
      </w:r>
    </w:p>
    <w:p w14:paraId="34C88EFC" w14:textId="77777777" w:rsidR="00E20DF2" w:rsidRPr="002B1A24" w:rsidRDefault="00E20DF2" w:rsidP="00E20DF2">
      <w:pPr>
        <w:contextualSpacing/>
        <w:rPr>
          <w:rFonts w:ascii="Corbel" w:eastAsia="Times New Roman" w:hAnsi="Corbel" w:cs="Calibri"/>
          <w:color w:val="1F3864"/>
          <w:sz w:val="24"/>
        </w:rPr>
      </w:pPr>
    </w:p>
    <w:p w14:paraId="0D222E5E" w14:textId="77777777" w:rsidR="00E20DF2" w:rsidRPr="002B1A24" w:rsidRDefault="00E20DF2" w:rsidP="00324E2C">
      <w:pPr>
        <w:contextualSpacing/>
        <w:outlineLvl w:val="3"/>
        <w:rPr>
          <w:rFonts w:ascii="Corbel" w:eastAsia="Times New Roman" w:hAnsi="Corbel" w:cs="Calibri"/>
          <w:b/>
          <w:color w:val="2F5496"/>
          <w:sz w:val="24"/>
          <w:u w:val="single"/>
        </w:rPr>
      </w:pPr>
      <w:r w:rsidRPr="002B1A24">
        <w:rPr>
          <w:rFonts w:ascii="Corbel" w:eastAsia="Times New Roman" w:hAnsi="Corbel" w:cs="Calibri"/>
          <w:b/>
          <w:color w:val="2F5496"/>
          <w:sz w:val="24"/>
          <w:u w:val="single"/>
        </w:rPr>
        <w:t>Introduction and Overview</w:t>
      </w:r>
    </w:p>
    <w:p w14:paraId="7359974C" w14:textId="77777777" w:rsidR="00625AB4" w:rsidRDefault="00E20DF2" w:rsidP="00E20DF2">
      <w:pPr>
        <w:contextualSpacing/>
        <w:rPr>
          <w:rFonts w:ascii="Corbel" w:eastAsia="Times New Roman" w:hAnsi="Corbel" w:cs="Calibri"/>
          <w:color w:val="1F3864"/>
          <w:sz w:val="24"/>
        </w:rPr>
      </w:pPr>
      <w:r w:rsidRPr="002B1A24">
        <w:rPr>
          <w:rFonts w:ascii="Corbel" w:eastAsia="Times New Roman" w:hAnsi="Corbel" w:cs="Calibri"/>
          <w:color w:val="1F3864"/>
          <w:sz w:val="24"/>
        </w:rPr>
        <w:t xml:space="preserve">The </w:t>
      </w:r>
      <w:r w:rsidR="004F7A5E">
        <w:rPr>
          <w:rFonts w:ascii="Corbel" w:eastAsia="Times New Roman" w:hAnsi="Corbel" w:cs="Calibri"/>
          <w:color w:val="1F3864"/>
          <w:sz w:val="24"/>
        </w:rPr>
        <w:t>Code of Federal Regulations (</w:t>
      </w:r>
      <w:hyperlink r:id="rId7" w:history="1">
        <w:r w:rsidR="004F7A5E" w:rsidRPr="00FD4628">
          <w:rPr>
            <w:rStyle w:val="Hyperlink"/>
            <w:rFonts w:ascii="Corbel" w:eastAsia="Times New Roman" w:hAnsi="Corbel" w:cs="Calibri"/>
            <w:sz w:val="24"/>
          </w:rPr>
          <w:t>45CFR4</w:t>
        </w:r>
        <w:r w:rsidR="004F7A5E" w:rsidRPr="00FD4628">
          <w:rPr>
            <w:rStyle w:val="Hyperlink"/>
            <w:rFonts w:ascii="Corbel" w:eastAsia="Times New Roman" w:hAnsi="Corbel" w:cs="Calibri"/>
            <w:sz w:val="24"/>
          </w:rPr>
          <w:t>6</w:t>
        </w:r>
        <w:r w:rsidR="004F7A5E" w:rsidRPr="00FD4628">
          <w:rPr>
            <w:rStyle w:val="Hyperlink"/>
            <w:rFonts w:ascii="Corbel" w:eastAsia="Times New Roman" w:hAnsi="Corbel" w:cs="Calibri"/>
            <w:sz w:val="24"/>
          </w:rPr>
          <w:t>.109(e)</w:t>
        </w:r>
      </w:hyperlink>
      <w:r w:rsidR="004F7A5E">
        <w:rPr>
          <w:rFonts w:ascii="Corbel" w:eastAsia="Times New Roman" w:hAnsi="Corbel" w:cs="Calibri"/>
          <w:color w:val="1F3864"/>
          <w:sz w:val="24"/>
        </w:rPr>
        <w:t>) include</w:t>
      </w:r>
      <w:r w:rsidRPr="002B1A24">
        <w:rPr>
          <w:rFonts w:ascii="Corbel" w:eastAsia="Times New Roman" w:hAnsi="Corbel" w:cs="Calibri"/>
          <w:color w:val="1F3864"/>
          <w:sz w:val="24"/>
        </w:rPr>
        <w:t xml:space="preserve"> specific regulations regarding </w:t>
      </w:r>
      <w:r w:rsidR="004F7A5E">
        <w:rPr>
          <w:rFonts w:ascii="Corbel" w:eastAsia="Times New Roman" w:hAnsi="Corbel" w:cs="Calibri"/>
          <w:color w:val="1F3864"/>
          <w:sz w:val="24"/>
        </w:rPr>
        <w:t>the</w:t>
      </w:r>
      <w:r w:rsidRPr="002B1A24">
        <w:rPr>
          <w:rFonts w:ascii="Corbel" w:eastAsia="Times New Roman" w:hAnsi="Corbel" w:cs="Calibri"/>
          <w:color w:val="1F3864"/>
          <w:sz w:val="24"/>
        </w:rPr>
        <w:t xml:space="preserve"> continuing review of ongoing research to ensure that the rights and welfare of human subjects are protected. </w:t>
      </w:r>
    </w:p>
    <w:p w14:paraId="4F0E45EE" w14:textId="77777777" w:rsidR="00625AB4" w:rsidRDefault="00625AB4" w:rsidP="00E20DF2">
      <w:pPr>
        <w:contextualSpacing/>
        <w:rPr>
          <w:rFonts w:ascii="Corbel" w:eastAsia="Times New Roman" w:hAnsi="Corbel" w:cs="Calibri"/>
          <w:color w:val="1F3864"/>
          <w:sz w:val="24"/>
        </w:rPr>
      </w:pPr>
    </w:p>
    <w:p w14:paraId="719D9718" w14:textId="77777777" w:rsidR="00E20DF2" w:rsidRPr="002B1A24" w:rsidRDefault="00E20DF2" w:rsidP="00E20DF2">
      <w:pPr>
        <w:contextualSpacing/>
        <w:rPr>
          <w:rFonts w:ascii="Corbel" w:eastAsia="Times New Roman" w:hAnsi="Corbel" w:cs="Calibri"/>
          <w:color w:val="1F3864"/>
          <w:sz w:val="24"/>
        </w:rPr>
      </w:pPr>
      <w:r w:rsidRPr="002B1A24">
        <w:rPr>
          <w:rFonts w:ascii="Corbel" w:eastAsia="Times New Roman" w:hAnsi="Corbel" w:cs="Calibri"/>
          <w:color w:val="1F3864"/>
          <w:sz w:val="24"/>
        </w:rPr>
        <w:t>All ongoing Level II and III research protocols must</w:t>
      </w:r>
      <w:r w:rsidR="007F670F">
        <w:rPr>
          <w:rFonts w:ascii="Corbel" w:eastAsia="Times New Roman" w:hAnsi="Corbel" w:cs="Calibri"/>
          <w:color w:val="1F3864"/>
          <w:sz w:val="24"/>
        </w:rPr>
        <w:t xml:space="preserve"> be</w:t>
      </w:r>
      <w:r w:rsidRPr="002B1A24">
        <w:rPr>
          <w:rFonts w:ascii="Corbel" w:eastAsia="Times New Roman" w:hAnsi="Corbel" w:cs="Calibri"/>
          <w:color w:val="1F3864"/>
          <w:sz w:val="24"/>
        </w:rPr>
        <w:t xml:space="preserve"> periodically reviewed in accordance with federal regulations and this policy. </w:t>
      </w:r>
    </w:p>
    <w:p w14:paraId="45BA798A" w14:textId="77777777" w:rsidR="00E20DF2" w:rsidRPr="002B1A24" w:rsidRDefault="00E20DF2" w:rsidP="00E20DF2">
      <w:pPr>
        <w:pStyle w:val="ListParagraph"/>
        <w:numPr>
          <w:ilvl w:val="0"/>
          <w:numId w:val="28"/>
        </w:numPr>
        <w:contextualSpacing/>
        <w:rPr>
          <w:rFonts w:ascii="Corbel" w:eastAsia="Times New Roman" w:hAnsi="Corbel" w:cs="Calibri"/>
          <w:color w:val="1F3864"/>
          <w:sz w:val="24"/>
        </w:rPr>
      </w:pPr>
      <w:r w:rsidRPr="002B1A24">
        <w:rPr>
          <w:rFonts w:ascii="Corbel" w:eastAsia="Times New Roman" w:hAnsi="Corbel" w:cs="Calibri"/>
          <w:color w:val="1F3864"/>
          <w:sz w:val="24"/>
        </w:rPr>
        <w:t xml:space="preserve">Full Board/Level III studies require continuing review at least annually. The IRB may assign a more frequent continuing review interval.  </w:t>
      </w:r>
    </w:p>
    <w:p w14:paraId="1DD58CDC" w14:textId="77777777" w:rsidR="00E20DF2" w:rsidRPr="002B1A24" w:rsidRDefault="00E20DF2" w:rsidP="00E20DF2">
      <w:pPr>
        <w:pStyle w:val="ListParagraph"/>
        <w:numPr>
          <w:ilvl w:val="0"/>
          <w:numId w:val="28"/>
        </w:numPr>
        <w:contextualSpacing/>
        <w:rPr>
          <w:rFonts w:ascii="Corbel" w:eastAsia="Times New Roman" w:hAnsi="Corbel" w:cs="Calibri"/>
          <w:color w:val="1F3864"/>
          <w:sz w:val="24"/>
        </w:rPr>
      </w:pPr>
      <w:r w:rsidRPr="002B1A24">
        <w:rPr>
          <w:rFonts w:ascii="Corbel" w:eastAsia="Times New Roman" w:hAnsi="Corbel" w:cs="Calibri"/>
          <w:color w:val="1F3864"/>
          <w:sz w:val="24"/>
        </w:rPr>
        <w:t xml:space="preserve">Expedited/Level II studies require continuing review at least every three years. The IRB may assign a more frequent continuing review interval.   </w:t>
      </w:r>
    </w:p>
    <w:p w14:paraId="248992B7" w14:textId="77777777" w:rsidR="00E20DF2" w:rsidRPr="002B1A24" w:rsidRDefault="00E20DF2" w:rsidP="00E20DF2">
      <w:pPr>
        <w:pStyle w:val="ListParagraph"/>
        <w:numPr>
          <w:ilvl w:val="0"/>
          <w:numId w:val="28"/>
        </w:numPr>
        <w:contextualSpacing/>
        <w:rPr>
          <w:rFonts w:ascii="Corbel" w:eastAsia="Times New Roman" w:hAnsi="Corbel" w:cs="Calibri"/>
          <w:color w:val="1F3864"/>
          <w:sz w:val="24"/>
        </w:rPr>
      </w:pPr>
      <w:r w:rsidRPr="002B1A24">
        <w:rPr>
          <w:rFonts w:ascii="Corbel" w:eastAsia="Times New Roman" w:hAnsi="Corbel" w:cs="Calibri"/>
          <w:color w:val="1F3864"/>
          <w:sz w:val="24"/>
        </w:rPr>
        <w:t xml:space="preserve">Exempt/Level I studies do not require continuing review. </w:t>
      </w:r>
    </w:p>
    <w:p w14:paraId="4CCE3233" w14:textId="77777777" w:rsidR="00E20DF2" w:rsidRPr="002B1A24" w:rsidRDefault="00E20DF2" w:rsidP="00E20DF2">
      <w:pPr>
        <w:contextualSpacing/>
        <w:rPr>
          <w:rFonts w:ascii="Corbel" w:eastAsia="Times New Roman" w:hAnsi="Corbel" w:cs="Calibri"/>
          <w:color w:val="1F3864"/>
          <w:sz w:val="24"/>
        </w:rPr>
      </w:pPr>
    </w:p>
    <w:p w14:paraId="1D689F74" w14:textId="77777777" w:rsidR="00E20DF2" w:rsidRPr="002B1A24" w:rsidRDefault="00E20DF2" w:rsidP="00E20DF2">
      <w:pPr>
        <w:contextualSpacing/>
        <w:outlineLvl w:val="4"/>
        <w:rPr>
          <w:rFonts w:ascii="Corbel" w:eastAsia="Times New Roman" w:hAnsi="Corbel" w:cs="Calibri"/>
          <w:b/>
          <w:color w:val="2F5496"/>
          <w:sz w:val="24"/>
          <w:u w:val="single"/>
        </w:rPr>
      </w:pPr>
      <w:r w:rsidRPr="002B1A24">
        <w:rPr>
          <w:rFonts w:ascii="Corbel" w:eastAsia="Times New Roman" w:hAnsi="Corbel" w:cs="Calibri"/>
          <w:b/>
          <w:color w:val="2F5496"/>
          <w:sz w:val="24"/>
          <w:u w:val="single"/>
        </w:rPr>
        <w:t>Full Board Review/Level III</w:t>
      </w:r>
    </w:p>
    <w:p w14:paraId="51B9DF36" w14:textId="77777777" w:rsidR="00E20DF2" w:rsidRPr="002B1A24" w:rsidRDefault="00E20DF2" w:rsidP="00E20DF2">
      <w:pPr>
        <w:contextualSpacing/>
        <w:rPr>
          <w:rFonts w:ascii="Corbel" w:eastAsia="Times New Roman" w:hAnsi="Corbel" w:cs="Calibri"/>
          <w:color w:val="1F3864"/>
          <w:sz w:val="24"/>
        </w:rPr>
      </w:pPr>
      <w:r w:rsidRPr="002B1A24">
        <w:rPr>
          <w:rFonts w:ascii="Corbel" w:eastAsia="Times New Roman" w:hAnsi="Corbel" w:cs="Calibri"/>
          <w:color w:val="1F3864"/>
          <w:sz w:val="24"/>
        </w:rPr>
        <w:t xml:space="preserve">Studies that pose more than minimal risk (Level III studies) require continuing review at least annually. The review procedure must be performed by the Full Board process unless one of the following </w:t>
      </w:r>
      <w:proofErr w:type="gramStart"/>
      <w:r w:rsidRPr="002B1A24">
        <w:rPr>
          <w:rFonts w:ascii="Corbel" w:eastAsia="Times New Roman" w:hAnsi="Corbel" w:cs="Calibri"/>
          <w:color w:val="1F3864"/>
          <w:sz w:val="24"/>
        </w:rPr>
        <w:t>are</w:t>
      </w:r>
      <w:proofErr w:type="gramEnd"/>
      <w:r w:rsidRPr="002B1A24">
        <w:rPr>
          <w:rFonts w:ascii="Corbel" w:eastAsia="Times New Roman" w:hAnsi="Corbel" w:cs="Calibri"/>
          <w:color w:val="1F3864"/>
          <w:sz w:val="24"/>
        </w:rPr>
        <w:t xml:space="preserve"> met: </w:t>
      </w:r>
    </w:p>
    <w:p w14:paraId="62B4EBB0" w14:textId="77777777" w:rsidR="00E20DF2" w:rsidRPr="002B1A24" w:rsidRDefault="00E20DF2" w:rsidP="00E20DF2">
      <w:pPr>
        <w:pStyle w:val="ListParagraph"/>
        <w:numPr>
          <w:ilvl w:val="0"/>
          <w:numId w:val="29"/>
        </w:numPr>
        <w:contextualSpacing/>
        <w:rPr>
          <w:rFonts w:ascii="Corbel" w:eastAsia="Times New Roman" w:hAnsi="Corbel" w:cs="Calibri"/>
          <w:color w:val="1F3864"/>
          <w:sz w:val="24"/>
        </w:rPr>
      </w:pPr>
      <w:r w:rsidRPr="002B1A24">
        <w:rPr>
          <w:rFonts w:ascii="Corbel" w:eastAsia="Times New Roman" w:hAnsi="Corbel" w:cs="Calibri"/>
          <w:color w:val="1F3864"/>
          <w:sz w:val="24"/>
        </w:rPr>
        <w:t xml:space="preserve">Continuing review of research, not conducted under an investigational new drug application or investigational device exemption where expedited review categories two through eight do not apply, but the IRB has determined and documented at a convened meeting that the research involves no greater than minimal risk and no additional risks have been associated (expedited review category 9). </w:t>
      </w:r>
    </w:p>
    <w:p w14:paraId="51C2AD4E" w14:textId="77777777" w:rsidR="00E20DF2" w:rsidRPr="002B1A24" w:rsidRDefault="00E20DF2" w:rsidP="00E20DF2">
      <w:pPr>
        <w:pStyle w:val="ListParagraph"/>
        <w:numPr>
          <w:ilvl w:val="0"/>
          <w:numId w:val="29"/>
        </w:numPr>
        <w:contextualSpacing/>
        <w:rPr>
          <w:rFonts w:ascii="Corbel" w:eastAsia="Times New Roman" w:hAnsi="Corbel" w:cs="Calibri"/>
          <w:color w:val="1F3864"/>
          <w:sz w:val="24"/>
        </w:rPr>
      </w:pPr>
      <w:r w:rsidRPr="002B1A24">
        <w:rPr>
          <w:rFonts w:ascii="Corbel" w:eastAsia="Times New Roman" w:hAnsi="Corbel" w:cs="Calibri"/>
          <w:color w:val="1F3864"/>
          <w:sz w:val="24"/>
        </w:rPr>
        <w:t xml:space="preserve">The research is permanently closed to enrollment of new subjects, all subjects have completed all research-related interventions/interactions, and the research remains active only for long-term follow-up of subjects (expedited review category 8). </w:t>
      </w:r>
    </w:p>
    <w:p w14:paraId="347F7888" w14:textId="77777777" w:rsidR="00E20DF2" w:rsidRPr="002B1A24" w:rsidRDefault="00E20DF2" w:rsidP="00E20DF2">
      <w:pPr>
        <w:pStyle w:val="ListParagraph"/>
        <w:numPr>
          <w:ilvl w:val="0"/>
          <w:numId w:val="29"/>
        </w:numPr>
        <w:contextualSpacing/>
        <w:rPr>
          <w:rFonts w:ascii="Corbel" w:eastAsia="Times New Roman" w:hAnsi="Corbel" w:cs="Calibri"/>
          <w:color w:val="1F3864"/>
          <w:sz w:val="24"/>
        </w:rPr>
      </w:pPr>
      <w:r w:rsidRPr="002B1A24">
        <w:rPr>
          <w:rFonts w:ascii="Corbel" w:eastAsia="Times New Roman" w:hAnsi="Corbel" w:cs="Calibri"/>
          <w:color w:val="1F3864"/>
          <w:sz w:val="24"/>
        </w:rPr>
        <w:t xml:space="preserve">No subjects have been </w:t>
      </w:r>
      <w:proofErr w:type="gramStart"/>
      <w:r w:rsidRPr="002B1A24">
        <w:rPr>
          <w:rFonts w:ascii="Corbel" w:eastAsia="Times New Roman" w:hAnsi="Corbel" w:cs="Calibri"/>
          <w:color w:val="1F3864"/>
          <w:sz w:val="24"/>
        </w:rPr>
        <w:t>enrolled</w:t>
      </w:r>
      <w:proofErr w:type="gramEnd"/>
      <w:r w:rsidRPr="002B1A24">
        <w:rPr>
          <w:rFonts w:ascii="Corbel" w:eastAsia="Times New Roman" w:hAnsi="Corbel" w:cs="Calibri"/>
          <w:color w:val="1F3864"/>
          <w:sz w:val="24"/>
        </w:rPr>
        <w:t xml:space="preserve"> and no additional risks have been identified.    </w:t>
      </w:r>
    </w:p>
    <w:p w14:paraId="193FC22A" w14:textId="77777777" w:rsidR="00E20DF2" w:rsidRPr="002B1A24" w:rsidRDefault="00E20DF2" w:rsidP="00E20DF2">
      <w:pPr>
        <w:contextualSpacing/>
        <w:rPr>
          <w:rFonts w:ascii="Corbel" w:eastAsia="Times New Roman" w:hAnsi="Corbel" w:cs="Calibri"/>
          <w:color w:val="1F3864"/>
          <w:sz w:val="24"/>
        </w:rPr>
      </w:pPr>
    </w:p>
    <w:p w14:paraId="3E08870C" w14:textId="77777777" w:rsidR="00E20DF2" w:rsidRPr="002B1A24" w:rsidRDefault="00E20DF2" w:rsidP="00E20DF2">
      <w:pPr>
        <w:tabs>
          <w:tab w:val="left" w:pos="3168"/>
        </w:tabs>
        <w:contextualSpacing/>
        <w:outlineLvl w:val="4"/>
        <w:rPr>
          <w:rFonts w:ascii="Corbel" w:eastAsia="Times New Roman" w:hAnsi="Corbel" w:cs="Calibri"/>
          <w:b/>
          <w:color w:val="2F5496"/>
          <w:sz w:val="24"/>
          <w:u w:val="single"/>
        </w:rPr>
      </w:pPr>
      <w:r w:rsidRPr="002B1A24">
        <w:rPr>
          <w:rFonts w:ascii="Corbel" w:eastAsia="Times New Roman" w:hAnsi="Corbel" w:cs="Calibri"/>
          <w:b/>
          <w:color w:val="2F5496"/>
          <w:sz w:val="24"/>
          <w:u w:val="single"/>
        </w:rPr>
        <w:t>Expedited Review/Level II</w:t>
      </w:r>
    </w:p>
    <w:p w14:paraId="68319D44" w14:textId="77777777" w:rsidR="00E20DF2" w:rsidRPr="002B1A24" w:rsidRDefault="00E20DF2" w:rsidP="00E20DF2">
      <w:pPr>
        <w:contextualSpacing/>
        <w:rPr>
          <w:rFonts w:ascii="Corbel" w:eastAsia="Times New Roman" w:hAnsi="Corbel" w:cs="Calibri"/>
          <w:color w:val="1F3864"/>
          <w:sz w:val="24"/>
        </w:rPr>
      </w:pPr>
      <w:r w:rsidRPr="002B1A24">
        <w:rPr>
          <w:rFonts w:ascii="Corbel" w:eastAsia="Times New Roman" w:hAnsi="Corbel" w:cs="Calibri"/>
          <w:color w:val="1F3864"/>
          <w:sz w:val="24"/>
        </w:rPr>
        <w:t>Studies that pose no more than minimal risk (Level II studies) require continuing re</w:t>
      </w:r>
      <w:r w:rsidR="00CC0070">
        <w:rPr>
          <w:rFonts w:ascii="Corbel" w:eastAsia="Times New Roman" w:hAnsi="Corbel" w:cs="Calibri"/>
          <w:color w:val="1F3864"/>
          <w:sz w:val="24"/>
        </w:rPr>
        <w:t>view at least every three years and can be completed via an expedited procedure.</w:t>
      </w:r>
      <w:r w:rsidRPr="002B1A24">
        <w:rPr>
          <w:rFonts w:ascii="Corbel" w:eastAsia="Times New Roman" w:hAnsi="Corbel" w:cs="Calibri"/>
          <w:color w:val="1F3864"/>
          <w:sz w:val="24"/>
        </w:rPr>
        <w:t xml:space="preserve"> Some studies may require continuing review to be conducted at an interval </w:t>
      </w:r>
      <w:r w:rsidR="007A40DF">
        <w:rPr>
          <w:rFonts w:ascii="Corbel" w:eastAsia="Times New Roman" w:hAnsi="Corbel" w:cs="Calibri"/>
          <w:color w:val="1F3864"/>
          <w:sz w:val="24"/>
        </w:rPr>
        <w:t>m</w:t>
      </w:r>
      <w:r w:rsidR="00CC0070">
        <w:rPr>
          <w:rFonts w:ascii="Corbel" w:eastAsia="Times New Roman" w:hAnsi="Corbel" w:cs="Calibri"/>
          <w:color w:val="1F3864"/>
          <w:sz w:val="24"/>
        </w:rPr>
        <w:t>or</w:t>
      </w:r>
      <w:r w:rsidR="007A40DF">
        <w:rPr>
          <w:rFonts w:ascii="Corbel" w:eastAsia="Times New Roman" w:hAnsi="Corbel" w:cs="Calibri"/>
          <w:color w:val="1F3864"/>
          <w:sz w:val="24"/>
        </w:rPr>
        <w:t>e</w:t>
      </w:r>
      <w:r w:rsidR="00CC0070">
        <w:rPr>
          <w:rFonts w:ascii="Corbel" w:eastAsia="Times New Roman" w:hAnsi="Corbel" w:cs="Calibri"/>
          <w:color w:val="1F3864"/>
          <w:sz w:val="24"/>
        </w:rPr>
        <w:t xml:space="preserve"> frequent</w:t>
      </w:r>
      <w:r w:rsidRPr="002B1A24">
        <w:rPr>
          <w:rFonts w:ascii="Corbel" w:eastAsia="Times New Roman" w:hAnsi="Corbel" w:cs="Calibri"/>
          <w:color w:val="1F3864"/>
          <w:sz w:val="24"/>
        </w:rPr>
        <w:t xml:space="preserve"> than three years, this includes, but is not limited to the following:</w:t>
      </w:r>
    </w:p>
    <w:p w14:paraId="526B2599" w14:textId="77777777" w:rsidR="00E20DF2" w:rsidRPr="002B1A24" w:rsidRDefault="00E20DF2" w:rsidP="00E20DF2">
      <w:pPr>
        <w:pStyle w:val="ListParagraph"/>
        <w:numPr>
          <w:ilvl w:val="0"/>
          <w:numId w:val="30"/>
        </w:numPr>
        <w:contextualSpacing/>
        <w:rPr>
          <w:rFonts w:ascii="Corbel" w:eastAsia="Times New Roman" w:hAnsi="Corbel" w:cs="Calibri"/>
          <w:color w:val="1F3864"/>
          <w:sz w:val="24"/>
        </w:rPr>
      </w:pPr>
      <w:r w:rsidRPr="002B1A24">
        <w:rPr>
          <w:rFonts w:ascii="Corbel" w:eastAsia="Times New Roman" w:hAnsi="Corbel" w:cs="Calibri"/>
          <w:color w:val="1F3864"/>
          <w:sz w:val="24"/>
        </w:rPr>
        <w:t>The IRB or the IRB Chair determines that an adverse event demonstrates the need for additional IRB oversight.</w:t>
      </w:r>
    </w:p>
    <w:p w14:paraId="738E4DFF" w14:textId="77777777" w:rsidR="00E20DF2" w:rsidRPr="002B1A24" w:rsidRDefault="00E20DF2" w:rsidP="00E20DF2">
      <w:pPr>
        <w:pStyle w:val="ListParagraph"/>
        <w:numPr>
          <w:ilvl w:val="0"/>
          <w:numId w:val="30"/>
        </w:numPr>
        <w:contextualSpacing/>
        <w:rPr>
          <w:rFonts w:ascii="Corbel" w:eastAsia="Times New Roman" w:hAnsi="Corbel" w:cs="Calibri"/>
          <w:color w:val="1F3864"/>
          <w:sz w:val="24"/>
        </w:rPr>
      </w:pPr>
      <w:r w:rsidRPr="002B1A24">
        <w:rPr>
          <w:rFonts w:ascii="Corbel" w:eastAsia="Times New Roman" w:hAnsi="Corbel" w:cs="Calibri"/>
          <w:color w:val="1F3864"/>
          <w:sz w:val="24"/>
        </w:rPr>
        <w:t>Other federal regulations apply (DOD, DOJ, or FDA regulations require annual review).</w:t>
      </w:r>
    </w:p>
    <w:p w14:paraId="355333A9" w14:textId="77777777" w:rsidR="00E20DF2" w:rsidRPr="002B1A24" w:rsidRDefault="00E20DF2" w:rsidP="00E20DF2">
      <w:pPr>
        <w:pStyle w:val="ListParagraph"/>
        <w:numPr>
          <w:ilvl w:val="0"/>
          <w:numId w:val="30"/>
        </w:numPr>
        <w:contextualSpacing/>
        <w:rPr>
          <w:rFonts w:ascii="Corbel" w:eastAsia="Times New Roman" w:hAnsi="Corbel" w:cs="Calibri"/>
          <w:color w:val="1F3864"/>
          <w:sz w:val="24"/>
        </w:rPr>
      </w:pPr>
      <w:r w:rsidRPr="002B1A24">
        <w:rPr>
          <w:rFonts w:ascii="Corbel" w:eastAsia="Times New Roman" w:hAnsi="Corbel" w:cs="Calibri"/>
          <w:color w:val="1F3864"/>
          <w:sz w:val="24"/>
        </w:rPr>
        <w:t xml:space="preserve">The study is an NIH funded clinical trial. </w:t>
      </w:r>
    </w:p>
    <w:p w14:paraId="53F1B655" w14:textId="77777777" w:rsidR="00E20DF2" w:rsidRPr="002B1A24" w:rsidRDefault="00E20DF2" w:rsidP="00E20DF2">
      <w:pPr>
        <w:pStyle w:val="ListParagraph"/>
        <w:numPr>
          <w:ilvl w:val="0"/>
          <w:numId w:val="30"/>
        </w:numPr>
        <w:contextualSpacing/>
        <w:rPr>
          <w:rFonts w:ascii="Corbel" w:eastAsia="Times New Roman" w:hAnsi="Corbel" w:cs="Calibri"/>
          <w:color w:val="1F3864"/>
          <w:sz w:val="24"/>
        </w:rPr>
      </w:pPr>
      <w:r w:rsidRPr="002B1A24">
        <w:rPr>
          <w:rFonts w:ascii="Corbel" w:eastAsia="Times New Roman" w:hAnsi="Corbel" w:cs="Calibri"/>
          <w:color w:val="1F3864"/>
          <w:sz w:val="24"/>
        </w:rPr>
        <w:t xml:space="preserve">A funder or contract </w:t>
      </w:r>
      <w:proofErr w:type="gramStart"/>
      <w:r w:rsidRPr="002B1A24">
        <w:rPr>
          <w:rFonts w:ascii="Corbel" w:eastAsia="Times New Roman" w:hAnsi="Corbel" w:cs="Calibri"/>
          <w:color w:val="1F3864"/>
          <w:sz w:val="24"/>
        </w:rPr>
        <w:t>require</w:t>
      </w:r>
      <w:proofErr w:type="gramEnd"/>
      <w:r w:rsidRPr="002B1A24">
        <w:rPr>
          <w:rFonts w:ascii="Corbel" w:eastAsia="Times New Roman" w:hAnsi="Corbel" w:cs="Calibri"/>
          <w:color w:val="1F3864"/>
          <w:sz w:val="24"/>
        </w:rPr>
        <w:t xml:space="preserve"> continuing review to be performed at an interval more frequent than every three years. </w:t>
      </w:r>
    </w:p>
    <w:p w14:paraId="7AECAFD8" w14:textId="77777777" w:rsidR="00E20DF2" w:rsidRPr="002B1A24" w:rsidRDefault="00E20DF2" w:rsidP="00E20DF2">
      <w:pPr>
        <w:pStyle w:val="ListParagraph"/>
        <w:numPr>
          <w:ilvl w:val="0"/>
          <w:numId w:val="30"/>
        </w:numPr>
        <w:contextualSpacing/>
        <w:rPr>
          <w:rFonts w:ascii="Corbel" w:eastAsia="Times New Roman" w:hAnsi="Corbel" w:cs="Calibri"/>
          <w:color w:val="1F3864"/>
          <w:sz w:val="24"/>
        </w:rPr>
      </w:pPr>
      <w:r w:rsidRPr="002B1A24">
        <w:rPr>
          <w:rFonts w:ascii="Corbel" w:eastAsia="Times New Roman" w:hAnsi="Corbel" w:cs="Calibri"/>
          <w:color w:val="1F3864"/>
          <w:sz w:val="24"/>
        </w:rPr>
        <w:lastRenderedPageBreak/>
        <w:t xml:space="preserve">An IRB reviewer requests and justifies the need for more frequent continuing review. </w:t>
      </w:r>
    </w:p>
    <w:p w14:paraId="6522F0EB" w14:textId="77777777" w:rsidR="00E20DF2" w:rsidRPr="002B1A24" w:rsidRDefault="00E20DF2" w:rsidP="00E20DF2">
      <w:pPr>
        <w:contextualSpacing/>
        <w:rPr>
          <w:rFonts w:ascii="Corbel" w:eastAsia="Times New Roman" w:hAnsi="Corbel" w:cs="Calibri"/>
          <w:color w:val="1F3864"/>
          <w:sz w:val="24"/>
        </w:rPr>
      </w:pPr>
    </w:p>
    <w:p w14:paraId="08816687" w14:textId="77777777" w:rsidR="00E20DF2" w:rsidRPr="002B1A24" w:rsidRDefault="00E20DF2" w:rsidP="00E20DF2">
      <w:pPr>
        <w:contextualSpacing/>
        <w:rPr>
          <w:rFonts w:ascii="Corbel" w:eastAsia="Times New Roman" w:hAnsi="Corbel" w:cs="Calibri"/>
          <w:color w:val="1F3864"/>
          <w:sz w:val="24"/>
        </w:rPr>
      </w:pPr>
      <w:r w:rsidRPr="002B1A24">
        <w:rPr>
          <w:rFonts w:ascii="Corbel" w:eastAsia="Times New Roman" w:hAnsi="Corbel" w:cs="Calibri"/>
          <w:color w:val="1F3864"/>
          <w:sz w:val="24"/>
        </w:rPr>
        <w:t>The expedited review procedure is conducted by the IRB Chair, Vice Chair, or an experienced IRB member as designated by the Chair</w:t>
      </w:r>
      <w:r w:rsidR="007F670F">
        <w:rPr>
          <w:rFonts w:ascii="Corbel" w:eastAsia="Times New Roman" w:hAnsi="Corbel" w:cs="Calibri"/>
          <w:color w:val="1F3864"/>
          <w:sz w:val="24"/>
        </w:rPr>
        <w:t xml:space="preserve">. </w:t>
      </w:r>
      <w:r w:rsidRPr="002B1A24">
        <w:rPr>
          <w:rFonts w:ascii="Corbel" w:eastAsia="Times New Roman" w:hAnsi="Corbel" w:cs="Calibri"/>
          <w:color w:val="1F3864"/>
          <w:sz w:val="24"/>
        </w:rPr>
        <w:t xml:space="preserve"> </w:t>
      </w:r>
    </w:p>
    <w:p w14:paraId="674705E2" w14:textId="77777777" w:rsidR="00E20DF2" w:rsidRPr="002B1A24" w:rsidRDefault="00E20DF2" w:rsidP="00E20DF2">
      <w:pPr>
        <w:contextualSpacing/>
        <w:outlineLvl w:val="3"/>
        <w:rPr>
          <w:rFonts w:ascii="Corbel" w:eastAsia="Times New Roman" w:hAnsi="Corbel" w:cs="Calibri"/>
          <w:b/>
          <w:color w:val="1F3864"/>
          <w:sz w:val="24"/>
        </w:rPr>
      </w:pPr>
    </w:p>
    <w:p w14:paraId="2AB99BD3" w14:textId="77777777" w:rsidR="00E20DF2" w:rsidRPr="002B1A24" w:rsidRDefault="00E20DF2" w:rsidP="00E20DF2">
      <w:pPr>
        <w:contextualSpacing/>
        <w:rPr>
          <w:rFonts w:ascii="Corbel" w:eastAsia="Times New Roman" w:hAnsi="Corbel" w:cs="Calibri"/>
          <w:color w:val="2F5496"/>
          <w:sz w:val="24"/>
        </w:rPr>
      </w:pPr>
      <w:r w:rsidRPr="002B1A24">
        <w:rPr>
          <w:rFonts w:ascii="Corbel" w:eastAsia="Times New Roman" w:hAnsi="Corbel" w:cs="Calibri"/>
          <w:b/>
          <w:color w:val="2F5496"/>
          <w:sz w:val="24"/>
          <w:u w:val="single"/>
        </w:rPr>
        <w:t>When continuing review is no longer required</w:t>
      </w:r>
    </w:p>
    <w:p w14:paraId="2D9BB6A2" w14:textId="77777777" w:rsidR="00E20DF2" w:rsidRPr="002B1A24" w:rsidRDefault="00E20DF2" w:rsidP="00E20DF2">
      <w:pPr>
        <w:contextualSpacing/>
        <w:rPr>
          <w:rFonts w:ascii="Corbel" w:eastAsia="Times New Roman" w:hAnsi="Corbel" w:cs="Calibri"/>
          <w:color w:val="1F3864"/>
          <w:sz w:val="24"/>
        </w:rPr>
      </w:pPr>
      <w:r w:rsidRPr="002B1A24">
        <w:rPr>
          <w:rFonts w:ascii="Corbel" w:eastAsia="Times New Roman" w:hAnsi="Corbel" w:cs="Calibri"/>
          <w:color w:val="1F3864"/>
          <w:sz w:val="24"/>
        </w:rPr>
        <w:t xml:space="preserve">Continuing review is no longer </w:t>
      </w:r>
      <w:proofErr w:type="gramStart"/>
      <w:r w:rsidRPr="002B1A24">
        <w:rPr>
          <w:rFonts w:ascii="Corbel" w:eastAsia="Times New Roman" w:hAnsi="Corbel" w:cs="Calibri"/>
          <w:color w:val="1F3864"/>
          <w:sz w:val="24"/>
        </w:rPr>
        <w:t>required</w:t>
      </w:r>
      <w:proofErr w:type="gramEnd"/>
      <w:r w:rsidRPr="002B1A24">
        <w:rPr>
          <w:rFonts w:ascii="Corbel" w:eastAsia="Times New Roman" w:hAnsi="Corbel" w:cs="Calibri"/>
          <w:color w:val="1F3864"/>
          <w:sz w:val="24"/>
        </w:rPr>
        <w:t xml:space="preserve"> and a study may be closed when all data are de-identified and all interactions/interventions with human research subjects have ceased. For data to be considered de-identified the code or key must be destroyed. </w:t>
      </w:r>
    </w:p>
    <w:p w14:paraId="49BA3B8B" w14:textId="77777777" w:rsidR="00E20DF2" w:rsidRPr="002B1A24" w:rsidRDefault="00E20DF2" w:rsidP="00E20DF2">
      <w:pPr>
        <w:contextualSpacing/>
        <w:outlineLvl w:val="3"/>
        <w:rPr>
          <w:rFonts w:ascii="Corbel" w:eastAsia="Times New Roman" w:hAnsi="Corbel" w:cs="Calibri"/>
          <w:b/>
          <w:color w:val="1F3864"/>
          <w:sz w:val="24"/>
          <w:u w:val="single"/>
        </w:rPr>
      </w:pPr>
    </w:p>
    <w:p w14:paraId="088B2368" w14:textId="77777777" w:rsidR="00E20DF2" w:rsidRPr="002B1A24" w:rsidRDefault="00E20DF2" w:rsidP="00E20DF2">
      <w:pPr>
        <w:contextualSpacing/>
        <w:outlineLvl w:val="3"/>
        <w:rPr>
          <w:rFonts w:ascii="Corbel" w:eastAsia="Times New Roman" w:hAnsi="Corbel" w:cs="Calibri"/>
          <w:b/>
          <w:color w:val="2F5496"/>
          <w:sz w:val="24"/>
          <w:u w:val="single"/>
        </w:rPr>
      </w:pPr>
      <w:r w:rsidRPr="002B1A24">
        <w:rPr>
          <w:rFonts w:ascii="Corbel" w:eastAsia="Times New Roman" w:hAnsi="Corbel" w:cs="Calibri"/>
          <w:b/>
          <w:color w:val="2F5496"/>
          <w:sz w:val="24"/>
          <w:u w:val="single"/>
        </w:rPr>
        <w:t xml:space="preserve">Criteria for Continuing Approval </w:t>
      </w:r>
    </w:p>
    <w:p w14:paraId="5CDA1370" w14:textId="77777777" w:rsidR="00FB06DD" w:rsidRPr="002B1A24" w:rsidRDefault="00FB06DD" w:rsidP="00FB06DD">
      <w:pPr>
        <w:contextualSpacing/>
        <w:outlineLvl w:val="3"/>
        <w:rPr>
          <w:rFonts w:ascii="Corbel" w:eastAsia="Times New Roman" w:hAnsi="Corbel" w:cs="Calibri"/>
          <w:b/>
          <w:color w:val="1F3864"/>
          <w:sz w:val="24"/>
        </w:rPr>
      </w:pPr>
      <w:r w:rsidRPr="002B1A24">
        <w:rPr>
          <w:rFonts w:ascii="Corbel" w:eastAsia="Times New Roman" w:hAnsi="Corbel" w:cs="Calibri"/>
          <w:b/>
          <w:color w:val="1F3864"/>
          <w:sz w:val="24"/>
        </w:rPr>
        <w:t>Investigator Responsibilities</w:t>
      </w:r>
    </w:p>
    <w:p w14:paraId="3528948B" w14:textId="77777777" w:rsidR="00FB06DD" w:rsidRDefault="00FB06DD" w:rsidP="00FB06DD">
      <w:pPr>
        <w:contextualSpacing/>
        <w:rPr>
          <w:rFonts w:ascii="Corbel" w:eastAsia="Times New Roman" w:hAnsi="Corbel" w:cs="Calibri"/>
          <w:color w:val="1F3864"/>
          <w:sz w:val="24"/>
        </w:rPr>
      </w:pPr>
      <w:r w:rsidRPr="002B1A24">
        <w:rPr>
          <w:rFonts w:ascii="Corbel" w:eastAsia="Times New Roman" w:hAnsi="Corbel" w:cs="Calibri"/>
          <w:color w:val="1F3864"/>
          <w:sz w:val="24"/>
        </w:rPr>
        <w:t>Research approved by the IRB may only continue for the approval period stated in the current IRB approval letter. The Continuing Review form and current informed consent document must be submitted</w:t>
      </w:r>
      <w:r w:rsidR="005F2487">
        <w:rPr>
          <w:rFonts w:ascii="Corbel" w:eastAsia="Times New Roman" w:hAnsi="Corbel" w:cs="Calibri"/>
          <w:color w:val="1F3864"/>
          <w:sz w:val="24"/>
        </w:rPr>
        <w:t xml:space="preserve"> for review</w:t>
      </w:r>
      <w:r w:rsidRPr="002B1A24">
        <w:rPr>
          <w:rFonts w:ascii="Corbel" w:eastAsia="Times New Roman" w:hAnsi="Corbel" w:cs="Calibri"/>
          <w:color w:val="1F3864"/>
          <w:sz w:val="24"/>
        </w:rPr>
        <w:t xml:space="preserve"> two to six weeks prior to the study expiration date to allow the IRB adequate review time. </w:t>
      </w:r>
    </w:p>
    <w:p w14:paraId="70D75EB4" w14:textId="77777777" w:rsidR="00FB06DD" w:rsidRPr="002B1A24" w:rsidRDefault="00FB06DD" w:rsidP="00FB06DD">
      <w:pPr>
        <w:contextualSpacing/>
        <w:rPr>
          <w:rFonts w:ascii="Corbel" w:eastAsia="Times New Roman" w:hAnsi="Corbel" w:cs="Calibri"/>
          <w:color w:val="1F3864"/>
          <w:sz w:val="24"/>
        </w:rPr>
      </w:pPr>
    </w:p>
    <w:p w14:paraId="115900CD" w14:textId="77777777" w:rsidR="00E20DF2" w:rsidRPr="002B1A24" w:rsidRDefault="00E20DF2" w:rsidP="00E20DF2">
      <w:pPr>
        <w:contextualSpacing/>
        <w:outlineLvl w:val="4"/>
        <w:rPr>
          <w:rFonts w:ascii="Corbel" w:eastAsia="Times New Roman" w:hAnsi="Corbel" w:cs="Calibri"/>
          <w:b/>
          <w:color w:val="1F3864"/>
          <w:sz w:val="24"/>
        </w:rPr>
      </w:pPr>
      <w:r w:rsidRPr="002B1A24">
        <w:rPr>
          <w:rFonts w:ascii="Corbel" w:eastAsia="Times New Roman" w:hAnsi="Corbel" w:cs="Calibri"/>
          <w:b/>
          <w:color w:val="1F3864"/>
          <w:sz w:val="24"/>
        </w:rPr>
        <w:t>IRB Responsibilities</w:t>
      </w:r>
    </w:p>
    <w:p w14:paraId="1E80710C" w14:textId="77777777" w:rsidR="00E20DF2" w:rsidRPr="002B1A24" w:rsidRDefault="00E20DF2" w:rsidP="00E20DF2">
      <w:pPr>
        <w:contextualSpacing/>
        <w:rPr>
          <w:rFonts w:ascii="Corbel" w:eastAsia="Times New Roman" w:hAnsi="Corbel" w:cs="Calibri"/>
          <w:color w:val="1F3864"/>
          <w:sz w:val="24"/>
        </w:rPr>
      </w:pPr>
      <w:r w:rsidRPr="002B1A24">
        <w:rPr>
          <w:rFonts w:ascii="Corbel" w:eastAsia="Times New Roman" w:hAnsi="Corbel" w:cs="Calibri"/>
          <w:color w:val="1F3864"/>
          <w:sz w:val="24"/>
        </w:rPr>
        <w:t>The IRB must determine that all of the following requirements are satisfied (</w:t>
      </w:r>
      <w:hyperlink r:id="rId8" w:anchor="46.111">
        <w:r w:rsidRPr="002B1A24">
          <w:rPr>
            <w:rFonts w:ascii="Corbel" w:eastAsia="Times New Roman" w:hAnsi="Corbel" w:cs="Calibri"/>
            <w:color w:val="1F3864"/>
            <w:sz w:val="24"/>
            <w:u w:val="single"/>
          </w:rPr>
          <w:t>45 CFR 4</w:t>
        </w:r>
        <w:r w:rsidRPr="002B1A24">
          <w:rPr>
            <w:rFonts w:ascii="Corbel" w:eastAsia="Times New Roman" w:hAnsi="Corbel" w:cs="Calibri"/>
            <w:color w:val="1F3864"/>
            <w:sz w:val="24"/>
            <w:u w:val="single"/>
          </w:rPr>
          <w:t>6</w:t>
        </w:r>
        <w:r w:rsidRPr="002B1A24">
          <w:rPr>
            <w:rFonts w:ascii="Corbel" w:eastAsia="Times New Roman" w:hAnsi="Corbel" w:cs="Calibri"/>
            <w:color w:val="1F3864"/>
            <w:sz w:val="24"/>
            <w:u w:val="single"/>
          </w:rPr>
          <w:t>.111</w:t>
        </w:r>
      </w:hyperlink>
      <w:r w:rsidRPr="002B1A24">
        <w:rPr>
          <w:rFonts w:ascii="Corbel" w:eastAsia="Times New Roman" w:hAnsi="Corbel" w:cs="Calibri"/>
          <w:color w:val="1F3864"/>
          <w:sz w:val="24"/>
        </w:rPr>
        <w:t>)</w:t>
      </w:r>
      <w:r w:rsidR="00324E2C" w:rsidRPr="002B1A24">
        <w:rPr>
          <w:rFonts w:ascii="Corbel" w:eastAsia="Times New Roman" w:hAnsi="Corbel" w:cs="Calibri"/>
          <w:color w:val="1F3864"/>
          <w:sz w:val="24"/>
        </w:rPr>
        <w:t xml:space="preserve"> in order to approve a continuing review request</w:t>
      </w:r>
      <w:r w:rsidRPr="002B1A24">
        <w:rPr>
          <w:rFonts w:ascii="Corbel" w:eastAsia="Times New Roman" w:hAnsi="Corbel" w:cs="Calibri"/>
          <w:color w:val="1F3864"/>
          <w:sz w:val="24"/>
        </w:rPr>
        <w:t xml:space="preserve">: </w:t>
      </w:r>
    </w:p>
    <w:p w14:paraId="407D9228" w14:textId="77777777" w:rsidR="00E20DF2" w:rsidRPr="002B1A24" w:rsidRDefault="00E20DF2" w:rsidP="00E20DF2">
      <w:pPr>
        <w:numPr>
          <w:ilvl w:val="0"/>
          <w:numId w:val="27"/>
        </w:numPr>
        <w:ind w:left="720" w:hanging="719"/>
        <w:contextualSpacing/>
        <w:rPr>
          <w:rFonts w:ascii="Corbel" w:eastAsia="Times New Roman" w:hAnsi="Corbel" w:cs="Calibri"/>
          <w:color w:val="1F3864"/>
          <w:sz w:val="24"/>
        </w:rPr>
      </w:pPr>
      <w:r w:rsidRPr="002B1A24">
        <w:rPr>
          <w:rFonts w:ascii="Corbel" w:eastAsia="Times New Roman" w:hAnsi="Corbel" w:cs="Calibri"/>
          <w:color w:val="1F3864"/>
          <w:sz w:val="24"/>
        </w:rPr>
        <w:t xml:space="preserve">Risks to subjects are minimized (i) by using procedures which are consistent with sound research </w:t>
      </w:r>
      <w:proofErr w:type="gramStart"/>
      <w:r w:rsidRPr="002B1A24">
        <w:rPr>
          <w:rFonts w:ascii="Corbel" w:eastAsia="Times New Roman" w:hAnsi="Corbel" w:cs="Calibri"/>
          <w:color w:val="1F3864"/>
          <w:sz w:val="24"/>
        </w:rPr>
        <w:t>design</w:t>
      </w:r>
      <w:proofErr w:type="gramEnd"/>
      <w:r w:rsidRPr="002B1A24">
        <w:rPr>
          <w:rFonts w:ascii="Corbel" w:eastAsia="Times New Roman" w:hAnsi="Corbel" w:cs="Calibri"/>
          <w:color w:val="1F3864"/>
          <w:sz w:val="24"/>
        </w:rPr>
        <w:t xml:space="preserve"> and which do not unnecessarily expose subjects to risk; and (ii) whenever appropriate, by using procedures already being performed on subjects for diagnostic or treatment purposes.</w:t>
      </w:r>
    </w:p>
    <w:p w14:paraId="2C5CD63C" w14:textId="77777777" w:rsidR="00E20DF2" w:rsidRPr="002B1A24" w:rsidRDefault="00E20DF2" w:rsidP="00E20DF2">
      <w:pPr>
        <w:numPr>
          <w:ilvl w:val="0"/>
          <w:numId w:val="27"/>
        </w:numPr>
        <w:ind w:left="720" w:hanging="719"/>
        <w:contextualSpacing/>
        <w:rPr>
          <w:rFonts w:ascii="Corbel" w:eastAsia="Times New Roman" w:hAnsi="Corbel" w:cs="Calibri"/>
          <w:color w:val="1F3864"/>
          <w:sz w:val="24"/>
        </w:rPr>
      </w:pPr>
      <w:r w:rsidRPr="002B1A24">
        <w:rPr>
          <w:rFonts w:ascii="Corbel" w:eastAsia="Times New Roman" w:hAnsi="Corbel" w:cs="Calibri"/>
          <w:color w:val="1F3864"/>
          <w:sz w:val="24"/>
        </w:rPr>
        <w:t xml:space="preserve">Risks are reasonable in relation to anticipated benefits, if any, and the importance of </w:t>
      </w:r>
      <w:proofErr w:type="gramStart"/>
      <w:r w:rsidRPr="002B1A24">
        <w:rPr>
          <w:rFonts w:ascii="Corbel" w:eastAsia="Times New Roman" w:hAnsi="Corbel" w:cs="Calibri"/>
          <w:color w:val="1F3864"/>
          <w:sz w:val="24"/>
        </w:rPr>
        <w:t>the knowledge</w:t>
      </w:r>
      <w:proofErr w:type="gramEnd"/>
      <w:r w:rsidRPr="002B1A24">
        <w:rPr>
          <w:rFonts w:ascii="Corbel" w:eastAsia="Times New Roman" w:hAnsi="Corbel" w:cs="Calibri"/>
          <w:color w:val="1F3864"/>
          <w:sz w:val="24"/>
        </w:rPr>
        <w:t xml:space="preserve"> that may reasonably be expected to result.</w:t>
      </w:r>
    </w:p>
    <w:p w14:paraId="00937D23" w14:textId="77777777" w:rsidR="00E20DF2" w:rsidRPr="002B1A24" w:rsidRDefault="00E20DF2" w:rsidP="00E20DF2">
      <w:pPr>
        <w:numPr>
          <w:ilvl w:val="0"/>
          <w:numId w:val="27"/>
        </w:numPr>
        <w:ind w:left="720" w:hanging="719"/>
        <w:contextualSpacing/>
        <w:rPr>
          <w:rFonts w:ascii="Corbel" w:eastAsia="Times New Roman" w:hAnsi="Corbel" w:cs="Calibri"/>
          <w:color w:val="1F3864"/>
          <w:sz w:val="24"/>
        </w:rPr>
      </w:pPr>
      <w:r w:rsidRPr="002B1A24">
        <w:rPr>
          <w:rFonts w:ascii="Corbel" w:eastAsia="Times New Roman" w:hAnsi="Corbel" w:cs="Calibri"/>
          <w:color w:val="1F3864"/>
          <w:sz w:val="24"/>
        </w:rPr>
        <w:t xml:space="preserve">Selection of subjects is equitable, </w:t>
      </w:r>
      <w:proofErr w:type="gramStart"/>
      <w:r w:rsidRPr="002B1A24">
        <w:rPr>
          <w:rFonts w:ascii="Corbel" w:eastAsia="Times New Roman" w:hAnsi="Corbel" w:cs="Calibri"/>
          <w:color w:val="1F3864"/>
          <w:sz w:val="24"/>
        </w:rPr>
        <w:t>taking into account</w:t>
      </w:r>
      <w:proofErr w:type="gramEnd"/>
      <w:r w:rsidRPr="002B1A24">
        <w:rPr>
          <w:rFonts w:ascii="Corbel" w:eastAsia="Times New Roman" w:hAnsi="Corbel" w:cs="Calibri"/>
          <w:color w:val="1F3864"/>
          <w:sz w:val="24"/>
        </w:rPr>
        <w:t xml:space="preserve"> the purposes of the research and the setting in which it is conducted.</w:t>
      </w:r>
    </w:p>
    <w:p w14:paraId="35346A2D" w14:textId="77777777" w:rsidR="00E20DF2" w:rsidRPr="002B1A24" w:rsidRDefault="00E20DF2" w:rsidP="00E20DF2">
      <w:pPr>
        <w:numPr>
          <w:ilvl w:val="0"/>
          <w:numId w:val="27"/>
        </w:numPr>
        <w:ind w:left="720" w:hanging="719"/>
        <w:contextualSpacing/>
        <w:rPr>
          <w:rFonts w:ascii="Corbel" w:eastAsia="Times New Roman" w:hAnsi="Corbel" w:cs="Calibri"/>
          <w:color w:val="1F3864"/>
          <w:sz w:val="24"/>
        </w:rPr>
      </w:pPr>
      <w:r w:rsidRPr="002B1A24">
        <w:rPr>
          <w:rFonts w:ascii="Corbel" w:eastAsia="Times New Roman" w:hAnsi="Corbel" w:cs="Calibri"/>
          <w:color w:val="1F3864"/>
          <w:sz w:val="24"/>
        </w:rPr>
        <w:t xml:space="preserve">Informed consent will be sought from each prospective subject or the subject’s legally authorized representative in accordance with </w:t>
      </w:r>
      <w:hyperlink r:id="rId9" w:anchor="46.116">
        <w:r w:rsidRPr="002B1A24">
          <w:rPr>
            <w:rFonts w:ascii="Corbel" w:eastAsia="Times New Roman" w:hAnsi="Corbel" w:cs="Calibri"/>
            <w:color w:val="1F3864"/>
            <w:sz w:val="24"/>
            <w:u w:val="single"/>
          </w:rPr>
          <w:t>45 CFR 46.116</w:t>
        </w:r>
      </w:hyperlink>
      <w:r w:rsidRPr="002B1A24">
        <w:rPr>
          <w:rFonts w:ascii="Corbel" w:eastAsia="Times New Roman" w:hAnsi="Corbel" w:cs="Calibri"/>
          <w:color w:val="1F3864"/>
          <w:sz w:val="24"/>
        </w:rPr>
        <w:t>.</w:t>
      </w:r>
    </w:p>
    <w:p w14:paraId="36DA1E9C" w14:textId="77777777" w:rsidR="00E20DF2" w:rsidRPr="002B1A24" w:rsidRDefault="00E20DF2" w:rsidP="00E20DF2">
      <w:pPr>
        <w:numPr>
          <w:ilvl w:val="0"/>
          <w:numId w:val="27"/>
        </w:numPr>
        <w:ind w:left="720" w:hanging="719"/>
        <w:contextualSpacing/>
        <w:rPr>
          <w:rFonts w:ascii="Corbel" w:eastAsia="Times New Roman" w:hAnsi="Corbel" w:cs="Calibri"/>
          <w:color w:val="1F3864"/>
          <w:sz w:val="24"/>
        </w:rPr>
      </w:pPr>
      <w:r w:rsidRPr="002B1A24">
        <w:rPr>
          <w:rFonts w:ascii="Corbel" w:eastAsia="Times New Roman" w:hAnsi="Corbel" w:cs="Calibri"/>
          <w:color w:val="1F3864"/>
          <w:sz w:val="24"/>
        </w:rPr>
        <w:t xml:space="preserve">Informed consent will be appropriately documented in accordance with </w:t>
      </w:r>
      <w:hyperlink r:id="rId10" w:anchor="46.117">
        <w:r w:rsidRPr="002B1A24">
          <w:rPr>
            <w:rFonts w:ascii="Corbel" w:eastAsia="Times New Roman" w:hAnsi="Corbel" w:cs="Calibri"/>
            <w:color w:val="1F3864"/>
            <w:sz w:val="24"/>
            <w:u w:val="single"/>
          </w:rPr>
          <w:t>45 CFR 46.117</w:t>
        </w:r>
      </w:hyperlink>
      <w:r w:rsidRPr="002B1A24">
        <w:rPr>
          <w:rFonts w:ascii="Corbel" w:eastAsia="Times New Roman" w:hAnsi="Corbel" w:cs="Calibri"/>
          <w:color w:val="1F3864"/>
          <w:sz w:val="24"/>
        </w:rPr>
        <w:t>.</w:t>
      </w:r>
    </w:p>
    <w:p w14:paraId="68D518FA" w14:textId="77777777" w:rsidR="00E20DF2" w:rsidRPr="002B1A24" w:rsidRDefault="00E20DF2" w:rsidP="00E20DF2">
      <w:pPr>
        <w:numPr>
          <w:ilvl w:val="0"/>
          <w:numId w:val="27"/>
        </w:numPr>
        <w:ind w:left="720" w:hanging="719"/>
        <w:contextualSpacing/>
        <w:rPr>
          <w:rFonts w:ascii="Corbel" w:eastAsia="Times New Roman" w:hAnsi="Corbel" w:cs="Calibri"/>
          <w:color w:val="1F3864"/>
          <w:sz w:val="24"/>
        </w:rPr>
      </w:pPr>
      <w:r w:rsidRPr="002B1A24">
        <w:rPr>
          <w:rFonts w:ascii="Corbel" w:eastAsia="Times New Roman" w:hAnsi="Corbel" w:cs="Calibri"/>
          <w:color w:val="1F3864"/>
          <w:sz w:val="24"/>
        </w:rPr>
        <w:t>The research plan appropriately monitors the data collected to ensure safety of subjects.</w:t>
      </w:r>
    </w:p>
    <w:p w14:paraId="522C304C" w14:textId="77777777" w:rsidR="00E20DF2" w:rsidRPr="002B1A24" w:rsidRDefault="00E20DF2" w:rsidP="00E20DF2">
      <w:pPr>
        <w:numPr>
          <w:ilvl w:val="0"/>
          <w:numId w:val="27"/>
        </w:numPr>
        <w:ind w:left="720" w:hanging="719"/>
        <w:contextualSpacing/>
        <w:rPr>
          <w:rFonts w:ascii="Corbel" w:eastAsia="Times New Roman" w:hAnsi="Corbel" w:cs="Calibri"/>
          <w:color w:val="1F3864"/>
          <w:sz w:val="24"/>
        </w:rPr>
      </w:pPr>
      <w:r w:rsidRPr="002B1A24">
        <w:rPr>
          <w:rFonts w:ascii="Corbel" w:eastAsia="Times New Roman" w:hAnsi="Corbel" w:cs="Calibri"/>
          <w:color w:val="1F3864"/>
          <w:sz w:val="24"/>
        </w:rPr>
        <w:t xml:space="preserve">The subject’s privacy is appropriately </w:t>
      </w:r>
      <w:proofErr w:type="gramStart"/>
      <w:r w:rsidRPr="002B1A24">
        <w:rPr>
          <w:rFonts w:ascii="Corbel" w:eastAsia="Times New Roman" w:hAnsi="Corbel" w:cs="Calibri"/>
          <w:color w:val="1F3864"/>
          <w:sz w:val="24"/>
        </w:rPr>
        <w:t>protected</w:t>
      </w:r>
      <w:proofErr w:type="gramEnd"/>
      <w:r w:rsidRPr="002B1A24">
        <w:rPr>
          <w:rFonts w:ascii="Corbel" w:eastAsia="Times New Roman" w:hAnsi="Corbel" w:cs="Calibri"/>
          <w:color w:val="1F3864"/>
          <w:sz w:val="24"/>
        </w:rPr>
        <w:t xml:space="preserve"> and confidentiality of the subject’s data is maintained.</w:t>
      </w:r>
    </w:p>
    <w:p w14:paraId="0445A8A8" w14:textId="77777777" w:rsidR="00E20DF2" w:rsidRPr="002B1A24" w:rsidRDefault="00E20DF2" w:rsidP="00E20DF2">
      <w:pPr>
        <w:numPr>
          <w:ilvl w:val="0"/>
          <w:numId w:val="27"/>
        </w:numPr>
        <w:ind w:left="720" w:hanging="719"/>
        <w:contextualSpacing/>
        <w:rPr>
          <w:rFonts w:ascii="Corbel" w:eastAsia="Times New Roman" w:hAnsi="Corbel" w:cs="Calibri"/>
          <w:color w:val="1F3864"/>
          <w:sz w:val="24"/>
        </w:rPr>
      </w:pPr>
      <w:r w:rsidRPr="002B1A24">
        <w:rPr>
          <w:rFonts w:ascii="Corbel" w:eastAsia="Times New Roman" w:hAnsi="Corbel" w:cs="Calibri"/>
          <w:color w:val="1F3864"/>
          <w:sz w:val="24"/>
        </w:rPr>
        <w:t>Appropriate safeguards are included to protect the rights and welfare of subjects who are likely to be vulnerable to coercion or undue influence.</w:t>
      </w:r>
    </w:p>
    <w:p w14:paraId="7F63EEB9" w14:textId="77777777" w:rsidR="00E20DF2" w:rsidRPr="002B1A24" w:rsidRDefault="00E20DF2" w:rsidP="00E20DF2">
      <w:pPr>
        <w:ind w:left="720" w:hanging="719"/>
        <w:contextualSpacing/>
        <w:rPr>
          <w:rFonts w:ascii="Corbel" w:eastAsia="Times New Roman" w:hAnsi="Corbel" w:cs="Calibri"/>
          <w:color w:val="1F3864"/>
          <w:sz w:val="24"/>
        </w:rPr>
      </w:pPr>
    </w:p>
    <w:p w14:paraId="37CA2A2A" w14:textId="77777777" w:rsidR="00E20DF2" w:rsidRPr="002B1A24" w:rsidRDefault="00E20DF2" w:rsidP="00E20DF2">
      <w:pPr>
        <w:contextualSpacing/>
        <w:rPr>
          <w:rFonts w:ascii="Corbel" w:eastAsia="Times New Roman" w:hAnsi="Corbel" w:cs="Calibri"/>
          <w:color w:val="1F3864"/>
          <w:sz w:val="24"/>
        </w:rPr>
      </w:pPr>
      <w:r w:rsidRPr="002B1A24">
        <w:rPr>
          <w:rFonts w:ascii="Corbel" w:eastAsia="Times New Roman" w:hAnsi="Corbel" w:cs="Calibri"/>
          <w:color w:val="1F3864"/>
          <w:sz w:val="24"/>
        </w:rPr>
        <w:t xml:space="preserve">The IRB holds the right to verify these criteria independent of the Continuing Review form. </w:t>
      </w:r>
    </w:p>
    <w:p w14:paraId="61C069F1" w14:textId="77777777" w:rsidR="00E20DF2" w:rsidRPr="002B1A24" w:rsidRDefault="00E20DF2" w:rsidP="00E20DF2">
      <w:pPr>
        <w:contextualSpacing/>
        <w:outlineLvl w:val="3"/>
        <w:rPr>
          <w:rFonts w:ascii="Corbel" w:eastAsia="Times New Roman" w:hAnsi="Corbel" w:cs="Calibri"/>
          <w:b/>
          <w:color w:val="1F3864"/>
          <w:sz w:val="24"/>
        </w:rPr>
      </w:pPr>
    </w:p>
    <w:p w14:paraId="2DAD36D7" w14:textId="77777777" w:rsidR="00A9268B" w:rsidRPr="002B1A24" w:rsidRDefault="00A9268B" w:rsidP="00E20DF2">
      <w:pPr>
        <w:rPr>
          <w:color w:val="1F3864"/>
        </w:rPr>
      </w:pPr>
    </w:p>
    <w:sectPr w:rsidR="00A9268B" w:rsidRPr="002B1A24" w:rsidSect="00E51DAC">
      <w:headerReference w:type="default" r:id="rId11"/>
      <w:footerReference w:type="default" r:id="rId12"/>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D0488" w14:textId="77777777" w:rsidR="006A0238" w:rsidRDefault="006A0238" w:rsidP="00E44BB3">
      <w:r>
        <w:separator/>
      </w:r>
    </w:p>
  </w:endnote>
  <w:endnote w:type="continuationSeparator" w:id="0">
    <w:p w14:paraId="4ABADE06" w14:textId="77777777" w:rsidR="006A0238" w:rsidRDefault="006A0238" w:rsidP="00E44B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18F56" w14:textId="77777777" w:rsidR="001736EA" w:rsidRDefault="001736EA">
    <w:pPr>
      <w:pStyle w:val="Footer"/>
    </w:pPr>
  </w:p>
  <w:tbl>
    <w:tblPr>
      <w:tblW w:w="0" w:type="auto"/>
      <w:tblInd w:w="198" w:type="dxa"/>
      <w:tblBorders>
        <w:bottom w:val="single" w:sz="4" w:space="0" w:color="auto"/>
        <w:insideH w:val="single" w:sz="4" w:space="0" w:color="auto"/>
        <w:insideV w:val="single" w:sz="4" w:space="0" w:color="auto"/>
      </w:tblBorders>
      <w:tblLook w:val="04A0" w:firstRow="1" w:lastRow="0" w:firstColumn="1" w:lastColumn="0" w:noHBand="0" w:noVBand="1"/>
    </w:tblPr>
    <w:tblGrid>
      <w:gridCol w:w="4929"/>
      <w:gridCol w:w="4953"/>
    </w:tblGrid>
    <w:tr w:rsidR="001736EA" w14:paraId="435AA467" w14:textId="77777777" w:rsidTr="001736EA">
      <w:tc>
        <w:tcPr>
          <w:tcW w:w="5310" w:type="dxa"/>
        </w:tcPr>
        <w:p w14:paraId="2D54C49D" w14:textId="77777777" w:rsidR="001736EA" w:rsidRDefault="001736EA">
          <w:pPr>
            <w:pStyle w:val="Footer"/>
          </w:pPr>
          <w:r>
            <w:t xml:space="preserve">Page </w:t>
          </w:r>
          <w:r w:rsidRPr="001736EA">
            <w:rPr>
              <w:b/>
            </w:rPr>
            <w:fldChar w:fldCharType="begin"/>
          </w:r>
          <w:r w:rsidRPr="001736EA">
            <w:rPr>
              <w:b/>
            </w:rPr>
            <w:instrText xml:space="preserve"> PAGE  \* Arabic  \* MERGEFORMAT </w:instrText>
          </w:r>
          <w:r w:rsidRPr="001736EA">
            <w:rPr>
              <w:b/>
            </w:rPr>
            <w:fldChar w:fldCharType="separate"/>
          </w:r>
          <w:r w:rsidR="003D3AC0">
            <w:rPr>
              <w:b/>
              <w:noProof/>
            </w:rPr>
            <w:t>2</w:t>
          </w:r>
          <w:r w:rsidRPr="001736EA">
            <w:rPr>
              <w:b/>
            </w:rPr>
            <w:fldChar w:fldCharType="end"/>
          </w:r>
          <w:r>
            <w:t xml:space="preserve"> of </w:t>
          </w:r>
          <w:r w:rsidRPr="001736EA">
            <w:rPr>
              <w:b/>
            </w:rPr>
            <w:fldChar w:fldCharType="begin"/>
          </w:r>
          <w:r w:rsidRPr="001736EA">
            <w:rPr>
              <w:b/>
            </w:rPr>
            <w:instrText xml:space="preserve"> NUMPAGES  \* Arabic  \* MERGEFORMAT </w:instrText>
          </w:r>
          <w:r w:rsidRPr="001736EA">
            <w:rPr>
              <w:b/>
            </w:rPr>
            <w:fldChar w:fldCharType="separate"/>
          </w:r>
          <w:r w:rsidR="003D3AC0">
            <w:rPr>
              <w:b/>
              <w:noProof/>
            </w:rPr>
            <w:t>2</w:t>
          </w:r>
          <w:r w:rsidRPr="001736EA">
            <w:rPr>
              <w:b/>
            </w:rPr>
            <w:fldChar w:fldCharType="end"/>
          </w:r>
        </w:p>
      </w:tc>
      <w:tc>
        <w:tcPr>
          <w:tcW w:w="5310" w:type="dxa"/>
        </w:tcPr>
        <w:p w14:paraId="280783DE" w14:textId="77777777" w:rsidR="001736EA" w:rsidRDefault="003D3AC0" w:rsidP="00324E2C">
          <w:pPr>
            <w:pStyle w:val="Footer"/>
          </w:pPr>
          <w:r>
            <w:t>Version</w:t>
          </w:r>
          <w:r w:rsidR="001736EA">
            <w:t>:</w:t>
          </w:r>
          <w:r>
            <w:t xml:space="preserve"> 1.0</w:t>
          </w:r>
          <w:r w:rsidR="001736EA">
            <w:t xml:space="preserve"> </w:t>
          </w:r>
        </w:p>
      </w:tc>
    </w:tr>
  </w:tbl>
  <w:p w14:paraId="0761EB92" w14:textId="77777777" w:rsidR="001736EA" w:rsidRDefault="001736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9AECB" w14:textId="77777777" w:rsidR="006A0238" w:rsidRDefault="006A0238" w:rsidP="00E44BB3">
      <w:r>
        <w:separator/>
      </w:r>
    </w:p>
  </w:footnote>
  <w:footnote w:type="continuationSeparator" w:id="0">
    <w:p w14:paraId="535DB198" w14:textId="77777777" w:rsidR="006A0238" w:rsidRDefault="006A0238" w:rsidP="00E44B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B00E9" w14:textId="0100BBA8" w:rsidR="00E44BB3" w:rsidRDefault="00A83057" w:rsidP="00E44BB3">
    <w:pPr>
      <w:pStyle w:val="Header"/>
      <w:spacing w:before="120" w:after="120"/>
    </w:pPr>
    <w:r>
      <w:rPr>
        <w:noProof/>
      </w:rPr>
      <mc:AlternateContent>
        <mc:Choice Requires="wps">
          <w:drawing>
            <wp:anchor distT="0" distB="0" distL="114300" distR="114300" simplePos="0" relativeHeight="251657216" behindDoc="0" locked="0" layoutInCell="1" allowOverlap="1" wp14:anchorId="5B47F49E" wp14:editId="0279FF20">
              <wp:simplePos x="0" y="0"/>
              <wp:positionH relativeFrom="column">
                <wp:posOffset>1987550</wp:posOffset>
              </wp:positionH>
              <wp:positionV relativeFrom="paragraph">
                <wp:posOffset>85090</wp:posOffset>
              </wp:positionV>
              <wp:extent cx="4444365" cy="329565"/>
              <wp:effectExtent l="6350" t="8890" r="6985" b="13970"/>
              <wp:wrapNone/>
              <wp:docPr id="11042237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4365" cy="329565"/>
                      </a:xfrm>
                      <a:prstGeom prst="rect">
                        <a:avLst/>
                      </a:prstGeom>
                      <a:solidFill>
                        <a:srgbClr val="FFFFFF"/>
                      </a:solidFill>
                      <a:ln w="9525">
                        <a:solidFill>
                          <a:srgbClr val="FFFFFF"/>
                        </a:solidFill>
                        <a:miter lim="800000"/>
                        <a:headEnd/>
                        <a:tailEnd/>
                      </a:ln>
                    </wps:spPr>
                    <wps:txbx>
                      <w:txbxContent>
                        <w:p w14:paraId="47ECA144" w14:textId="77777777" w:rsidR="00E44BB3" w:rsidRPr="00E51DAC" w:rsidRDefault="00E44BB3" w:rsidP="00E44BB3">
                          <w:pPr>
                            <w:jc w:val="right"/>
                            <w:rPr>
                              <w:rFonts w:ascii="Century Gothic" w:hAnsi="Century Gothic"/>
                              <w:sz w:val="20"/>
                            </w:rPr>
                          </w:pPr>
                          <w:r w:rsidRPr="00E51DAC">
                            <w:rPr>
                              <w:rFonts w:ascii="Century Gothic" w:hAnsi="Century Gothic"/>
                              <w:sz w:val="20"/>
                            </w:rPr>
                            <w:t>INSTITUTIONAL REVI</w:t>
                          </w:r>
                          <w:r w:rsidR="00891735">
                            <w:rPr>
                              <w:rFonts w:ascii="Century Gothic" w:hAnsi="Century Gothic"/>
                              <w:sz w:val="20"/>
                            </w:rPr>
                            <w:t>EW BOARD POLICIES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47F49E" id="_x0000_t202" coordsize="21600,21600" o:spt="202" path="m,l,21600r21600,l21600,xe">
              <v:stroke joinstyle="miter"/>
              <v:path gradientshapeok="t" o:connecttype="rect"/>
            </v:shapetype>
            <v:shape id="Text Box 2" o:spid="_x0000_s1026" type="#_x0000_t202" style="position:absolute;margin-left:156.5pt;margin-top:6.7pt;width:349.95pt;height:25.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" strokecolor="white">
              <v:textbox>
                <w:txbxContent>
                  <w:p w14:paraId="47ECA144" w14:textId="77777777" w:rsidR="00E44BB3" w:rsidRPr="00E51DAC" w:rsidRDefault="00E44BB3" w:rsidP="00E44BB3">
                    <w:pPr>
                      <w:jc w:val="right"/>
                      <w:rPr>
                        <w:rFonts w:ascii="Century Gothic" w:hAnsi="Century Gothic"/>
                        <w:sz w:val="20"/>
                      </w:rPr>
                    </w:pPr>
                    <w:r w:rsidRPr="00E51DAC">
                      <w:rPr>
                        <w:rFonts w:ascii="Century Gothic" w:hAnsi="Century Gothic"/>
                        <w:sz w:val="20"/>
                      </w:rPr>
                      <w:t>INSTITUTIONAL REVI</w:t>
                    </w:r>
                    <w:r w:rsidR="00891735">
                      <w:rPr>
                        <w:rFonts w:ascii="Century Gothic" w:hAnsi="Century Gothic"/>
                        <w:sz w:val="20"/>
                      </w:rPr>
                      <w:t>EW BOARD POLICIES</w:t>
                    </w:r>
                  </w:p>
                </w:txbxContent>
              </v:textbox>
            </v:shape>
          </w:pict>
        </mc:Fallback>
      </mc:AlternateContent>
    </w:r>
    <w:r>
      <w:rPr>
        <w:noProof/>
      </w:rPr>
      <w:drawing>
        <wp:inline distT="0" distB="0" distL="0" distR="0" wp14:anchorId="3A9A2E3D" wp14:editId="43097962">
          <wp:extent cx="1593850" cy="469900"/>
          <wp:effectExtent l="0" t="0" r="0" b="0"/>
          <wp:docPr id="1" name="Picture 1" descr="Kent State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Kent State University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3850" cy="4699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D747D"/>
    <w:multiLevelType w:val="hybridMultilevel"/>
    <w:tmpl w:val="770EE4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925CC9"/>
    <w:multiLevelType w:val="multilevel"/>
    <w:tmpl w:val="A7D63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A3545B"/>
    <w:multiLevelType w:val="hybridMultilevel"/>
    <w:tmpl w:val="F6D4EE24"/>
    <w:lvl w:ilvl="0" w:tplc="58BCBE7E">
      <w:start w:val="1"/>
      <w:numFmt w:val="bullet"/>
      <w:lvlText w:val=""/>
      <w:lvlJc w:val="left"/>
      <w:pPr>
        <w:tabs>
          <w:tab w:val="num" w:pos="720"/>
        </w:tabs>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68022E"/>
    <w:multiLevelType w:val="hybridMultilevel"/>
    <w:tmpl w:val="A49475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9D7D56"/>
    <w:multiLevelType w:val="hybridMultilevel"/>
    <w:tmpl w:val="55FAB7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BD5838"/>
    <w:multiLevelType w:val="hybridMultilevel"/>
    <w:tmpl w:val="47DADA7E"/>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A94F7B"/>
    <w:multiLevelType w:val="hybridMultilevel"/>
    <w:tmpl w:val="E3A8206A"/>
    <w:lvl w:ilvl="0" w:tplc="04090015">
      <w:start w:val="1"/>
      <w:numFmt w:val="upp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7" w15:restartNumberingAfterBreak="0">
    <w:nsid w:val="11580EDA"/>
    <w:multiLevelType w:val="hybridMultilevel"/>
    <w:tmpl w:val="D4DC946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382171"/>
    <w:multiLevelType w:val="hybridMultilevel"/>
    <w:tmpl w:val="8B86F55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3679CB"/>
    <w:multiLevelType w:val="hybridMultilevel"/>
    <w:tmpl w:val="6226BE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283F69"/>
    <w:multiLevelType w:val="hybridMultilevel"/>
    <w:tmpl w:val="D9A064F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8401A8"/>
    <w:multiLevelType w:val="hybridMultilevel"/>
    <w:tmpl w:val="0A5E3052"/>
    <w:lvl w:ilvl="0" w:tplc="58BCBE7E">
      <w:start w:val="1"/>
      <w:numFmt w:val="bullet"/>
      <w:lvlText w:val=""/>
      <w:lvlJc w:val="left"/>
      <w:pPr>
        <w:tabs>
          <w:tab w:val="num" w:pos="720"/>
        </w:tabs>
        <w:ind w:left="720" w:hanging="360"/>
      </w:pPr>
      <w:rPr>
        <w:rFonts w:ascii="Symbol" w:hAnsi="Symbol" w:hint="default"/>
        <w:sz w:val="24"/>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D5D339A"/>
    <w:multiLevelType w:val="hybridMultilevel"/>
    <w:tmpl w:val="040EDFF6"/>
    <w:lvl w:ilvl="0" w:tplc="AE92858E">
      <w:start w:val="1"/>
      <w:numFmt w:val="lowerLetter"/>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F455BC"/>
    <w:multiLevelType w:val="hybridMultilevel"/>
    <w:tmpl w:val="96221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287BD5"/>
    <w:multiLevelType w:val="multilevel"/>
    <w:tmpl w:val="E0D612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4F637D"/>
    <w:multiLevelType w:val="hybridMultilevel"/>
    <w:tmpl w:val="DB3AE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570184"/>
    <w:multiLevelType w:val="hybridMultilevel"/>
    <w:tmpl w:val="CD3C2E4C"/>
    <w:lvl w:ilvl="0" w:tplc="0409001B">
      <w:start w:val="1"/>
      <w:numFmt w:val="lowerRoman"/>
      <w:lvlText w:val="%1."/>
      <w:lvlJc w:val="righ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7" w15:restartNumberingAfterBreak="0">
    <w:nsid w:val="3E076330"/>
    <w:multiLevelType w:val="hybridMultilevel"/>
    <w:tmpl w:val="DBE0B066"/>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18" w15:restartNumberingAfterBreak="0">
    <w:nsid w:val="3FAC5D56"/>
    <w:multiLevelType w:val="multilevel"/>
    <w:tmpl w:val="5AFCDE52"/>
    <w:lvl w:ilvl="0">
      <w:start w:val="1"/>
      <w:numFmt w:val="bullet"/>
      <w:lvlText w:val="●"/>
      <w:lvlJc w:val="left"/>
      <w:pPr>
        <w:ind w:left="1008" w:firstLine="648"/>
      </w:pPr>
      <w:rPr>
        <w:rFonts w:ascii="Arial" w:eastAsia="Arial" w:hAnsi="Arial" w:cs="Arial"/>
        <w:b w:val="0"/>
        <w:i w:val="0"/>
        <w:smallCaps w:val="0"/>
        <w:strike w:val="0"/>
        <w:color w:val="000000"/>
        <w:sz w:val="22"/>
        <w:u w:val="none"/>
        <w:vertAlign w:val="baseline"/>
      </w:rPr>
    </w:lvl>
    <w:lvl w:ilvl="1">
      <w:start w:val="1"/>
      <w:numFmt w:val="bullet"/>
      <w:lvlText w:val="○"/>
      <w:lvlJc w:val="left"/>
      <w:pPr>
        <w:ind w:left="1728" w:firstLine="1368"/>
      </w:pPr>
      <w:rPr>
        <w:rFonts w:ascii="Arial" w:eastAsia="Arial" w:hAnsi="Arial" w:cs="Arial"/>
        <w:b w:val="0"/>
        <w:i w:val="0"/>
        <w:smallCaps w:val="0"/>
        <w:strike w:val="0"/>
        <w:color w:val="000000"/>
        <w:sz w:val="22"/>
        <w:u w:val="none"/>
        <w:vertAlign w:val="baseline"/>
      </w:rPr>
    </w:lvl>
    <w:lvl w:ilvl="2">
      <w:start w:val="1"/>
      <w:numFmt w:val="bullet"/>
      <w:lvlText w:val="■"/>
      <w:lvlJc w:val="left"/>
      <w:pPr>
        <w:ind w:left="2448" w:firstLine="2088"/>
      </w:pPr>
      <w:rPr>
        <w:rFonts w:ascii="Arial" w:eastAsia="Arial" w:hAnsi="Arial" w:cs="Arial"/>
        <w:b w:val="0"/>
        <w:i w:val="0"/>
        <w:smallCaps w:val="0"/>
        <w:strike w:val="0"/>
        <w:color w:val="000000"/>
        <w:sz w:val="22"/>
        <w:u w:val="none"/>
        <w:vertAlign w:val="baseline"/>
      </w:rPr>
    </w:lvl>
    <w:lvl w:ilvl="3">
      <w:start w:val="1"/>
      <w:numFmt w:val="bullet"/>
      <w:lvlText w:val="●"/>
      <w:lvlJc w:val="left"/>
      <w:pPr>
        <w:ind w:left="3168" w:firstLine="2808"/>
      </w:pPr>
      <w:rPr>
        <w:rFonts w:ascii="Arial" w:eastAsia="Arial" w:hAnsi="Arial" w:cs="Arial"/>
        <w:b w:val="0"/>
        <w:i w:val="0"/>
        <w:smallCaps w:val="0"/>
        <w:strike w:val="0"/>
        <w:color w:val="000000"/>
        <w:sz w:val="22"/>
        <w:u w:val="none"/>
        <w:vertAlign w:val="baseline"/>
      </w:rPr>
    </w:lvl>
    <w:lvl w:ilvl="4">
      <w:start w:val="1"/>
      <w:numFmt w:val="bullet"/>
      <w:lvlText w:val="○"/>
      <w:lvlJc w:val="left"/>
      <w:pPr>
        <w:ind w:left="3888" w:firstLine="3528"/>
      </w:pPr>
      <w:rPr>
        <w:rFonts w:ascii="Arial" w:eastAsia="Arial" w:hAnsi="Arial" w:cs="Arial"/>
        <w:b w:val="0"/>
        <w:i w:val="0"/>
        <w:smallCaps w:val="0"/>
        <w:strike w:val="0"/>
        <w:color w:val="000000"/>
        <w:sz w:val="22"/>
        <w:u w:val="none"/>
        <w:vertAlign w:val="baseline"/>
      </w:rPr>
    </w:lvl>
    <w:lvl w:ilvl="5">
      <w:start w:val="1"/>
      <w:numFmt w:val="bullet"/>
      <w:lvlText w:val="■"/>
      <w:lvlJc w:val="left"/>
      <w:pPr>
        <w:ind w:left="4608" w:firstLine="4248"/>
      </w:pPr>
      <w:rPr>
        <w:rFonts w:ascii="Arial" w:eastAsia="Arial" w:hAnsi="Arial" w:cs="Arial"/>
        <w:b w:val="0"/>
        <w:i w:val="0"/>
        <w:smallCaps w:val="0"/>
        <w:strike w:val="0"/>
        <w:color w:val="000000"/>
        <w:sz w:val="22"/>
        <w:u w:val="none"/>
        <w:vertAlign w:val="baseline"/>
      </w:rPr>
    </w:lvl>
    <w:lvl w:ilvl="6">
      <w:start w:val="1"/>
      <w:numFmt w:val="bullet"/>
      <w:lvlText w:val="●"/>
      <w:lvlJc w:val="left"/>
      <w:pPr>
        <w:ind w:left="5328" w:firstLine="4968"/>
      </w:pPr>
      <w:rPr>
        <w:rFonts w:ascii="Arial" w:eastAsia="Arial" w:hAnsi="Arial" w:cs="Arial"/>
        <w:b w:val="0"/>
        <w:i w:val="0"/>
        <w:smallCaps w:val="0"/>
        <w:strike w:val="0"/>
        <w:color w:val="000000"/>
        <w:sz w:val="22"/>
        <w:u w:val="none"/>
        <w:vertAlign w:val="baseline"/>
      </w:rPr>
    </w:lvl>
    <w:lvl w:ilvl="7">
      <w:start w:val="1"/>
      <w:numFmt w:val="bullet"/>
      <w:lvlText w:val="○"/>
      <w:lvlJc w:val="left"/>
      <w:pPr>
        <w:ind w:left="6048" w:firstLine="5688"/>
      </w:pPr>
      <w:rPr>
        <w:rFonts w:ascii="Arial" w:eastAsia="Arial" w:hAnsi="Arial" w:cs="Arial"/>
        <w:b w:val="0"/>
        <w:i w:val="0"/>
        <w:smallCaps w:val="0"/>
        <w:strike w:val="0"/>
        <w:color w:val="000000"/>
        <w:sz w:val="22"/>
        <w:u w:val="none"/>
        <w:vertAlign w:val="baseline"/>
      </w:rPr>
    </w:lvl>
    <w:lvl w:ilvl="8">
      <w:start w:val="1"/>
      <w:numFmt w:val="bullet"/>
      <w:lvlText w:val="■"/>
      <w:lvlJc w:val="left"/>
      <w:pPr>
        <w:ind w:left="6768" w:firstLine="6408"/>
      </w:pPr>
      <w:rPr>
        <w:rFonts w:ascii="Arial" w:eastAsia="Arial" w:hAnsi="Arial" w:cs="Arial"/>
        <w:b w:val="0"/>
        <w:i w:val="0"/>
        <w:smallCaps w:val="0"/>
        <w:strike w:val="0"/>
        <w:color w:val="000000"/>
        <w:sz w:val="22"/>
        <w:u w:val="none"/>
        <w:vertAlign w:val="baseline"/>
      </w:rPr>
    </w:lvl>
  </w:abstractNum>
  <w:abstractNum w:abstractNumId="19" w15:restartNumberingAfterBreak="0">
    <w:nsid w:val="40A83ECF"/>
    <w:multiLevelType w:val="multilevel"/>
    <w:tmpl w:val="94EA3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9E18BD"/>
    <w:multiLevelType w:val="hybridMultilevel"/>
    <w:tmpl w:val="94F05BF6"/>
    <w:lvl w:ilvl="0" w:tplc="04090019">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1" w15:restartNumberingAfterBreak="0">
    <w:nsid w:val="433B0225"/>
    <w:multiLevelType w:val="hybridMultilevel"/>
    <w:tmpl w:val="59EADBF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33D2AAA"/>
    <w:multiLevelType w:val="hybridMultilevel"/>
    <w:tmpl w:val="CAA4B2D0"/>
    <w:lvl w:ilvl="0" w:tplc="A824E668">
      <w:numFmt w:val="bullet"/>
      <w:lvlText w:val=""/>
      <w:lvlJc w:val="left"/>
      <w:pPr>
        <w:ind w:left="720" w:hanging="360"/>
      </w:pPr>
      <w:rPr>
        <w:rFonts w:ascii="Times New Roman" w:eastAsia="Calibri" w:hAnsi="Times New Roman" w:cs="Times New Roman"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C54D96"/>
    <w:multiLevelType w:val="hybridMultilevel"/>
    <w:tmpl w:val="BF3037E6"/>
    <w:lvl w:ilvl="0" w:tplc="72B6269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7F6E60"/>
    <w:multiLevelType w:val="hybridMultilevel"/>
    <w:tmpl w:val="BCD6D8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3413AEB"/>
    <w:multiLevelType w:val="hybridMultilevel"/>
    <w:tmpl w:val="F76454B0"/>
    <w:lvl w:ilvl="0" w:tplc="472AA942">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CE55A9"/>
    <w:multiLevelType w:val="hybridMultilevel"/>
    <w:tmpl w:val="C6C865BC"/>
    <w:lvl w:ilvl="0" w:tplc="04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8B034A"/>
    <w:multiLevelType w:val="hybridMultilevel"/>
    <w:tmpl w:val="D826B736"/>
    <w:lvl w:ilvl="0" w:tplc="04090011">
      <w:start w:val="1"/>
      <w:numFmt w:val="decimal"/>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8" w15:restartNumberingAfterBreak="0">
    <w:nsid w:val="68A24BCD"/>
    <w:multiLevelType w:val="hybridMultilevel"/>
    <w:tmpl w:val="833E68A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CC1796F"/>
    <w:multiLevelType w:val="hybridMultilevel"/>
    <w:tmpl w:val="D17AD7EA"/>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0" w15:restartNumberingAfterBreak="0">
    <w:nsid w:val="7CB16663"/>
    <w:multiLevelType w:val="hybridMultilevel"/>
    <w:tmpl w:val="4502F4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87591595">
    <w:abstractNumId w:val="13"/>
  </w:num>
  <w:num w:numId="2" w16cid:durableId="731192200">
    <w:abstractNumId w:val="22"/>
  </w:num>
  <w:num w:numId="3" w16cid:durableId="1820227853">
    <w:abstractNumId w:val="15"/>
  </w:num>
  <w:num w:numId="4" w16cid:durableId="1079906048">
    <w:abstractNumId w:val="8"/>
  </w:num>
  <w:num w:numId="5" w16cid:durableId="897399981">
    <w:abstractNumId w:val="26"/>
  </w:num>
  <w:num w:numId="6" w16cid:durableId="1835338947">
    <w:abstractNumId w:val="5"/>
  </w:num>
  <w:num w:numId="7" w16cid:durableId="1277131556">
    <w:abstractNumId w:val="16"/>
  </w:num>
  <w:num w:numId="8" w16cid:durableId="1567839120">
    <w:abstractNumId w:val="21"/>
  </w:num>
  <w:num w:numId="9" w16cid:durableId="2049337480">
    <w:abstractNumId w:val="7"/>
  </w:num>
  <w:num w:numId="10" w16cid:durableId="1843471717">
    <w:abstractNumId w:val="20"/>
  </w:num>
  <w:num w:numId="11" w16cid:durableId="1309819712">
    <w:abstractNumId w:val="29"/>
  </w:num>
  <w:num w:numId="12" w16cid:durableId="610359303">
    <w:abstractNumId w:val="14"/>
  </w:num>
  <w:num w:numId="13" w16cid:durableId="1389376992">
    <w:abstractNumId w:val="11"/>
  </w:num>
  <w:num w:numId="14" w16cid:durableId="451479523">
    <w:abstractNumId w:val="3"/>
  </w:num>
  <w:num w:numId="15" w16cid:durableId="1128281198">
    <w:abstractNumId w:val="9"/>
  </w:num>
  <w:num w:numId="16" w16cid:durableId="347560348">
    <w:abstractNumId w:val="2"/>
  </w:num>
  <w:num w:numId="17" w16cid:durableId="288126742">
    <w:abstractNumId w:val="23"/>
  </w:num>
  <w:num w:numId="18" w16cid:durableId="1780296491">
    <w:abstractNumId w:val="1"/>
  </w:num>
  <w:num w:numId="19" w16cid:durableId="1272475561">
    <w:abstractNumId w:val="19"/>
  </w:num>
  <w:num w:numId="20" w16cid:durableId="1876379582">
    <w:abstractNumId w:val="0"/>
  </w:num>
  <w:num w:numId="21" w16cid:durableId="1968928961">
    <w:abstractNumId w:val="6"/>
  </w:num>
  <w:num w:numId="22" w16cid:durableId="1450851747">
    <w:abstractNumId w:val="28"/>
  </w:num>
  <w:num w:numId="23" w16cid:durableId="1629437157">
    <w:abstractNumId w:val="12"/>
  </w:num>
  <w:num w:numId="24" w16cid:durableId="1399523544">
    <w:abstractNumId w:val="25"/>
  </w:num>
  <w:num w:numId="25" w16cid:durableId="101610747">
    <w:abstractNumId w:val="10"/>
  </w:num>
  <w:num w:numId="26" w16cid:durableId="143813243">
    <w:abstractNumId w:val="27"/>
  </w:num>
  <w:num w:numId="27" w16cid:durableId="1260874995">
    <w:abstractNumId w:val="18"/>
  </w:num>
  <w:num w:numId="28" w16cid:durableId="2100833930">
    <w:abstractNumId w:val="30"/>
  </w:num>
  <w:num w:numId="29" w16cid:durableId="225604597">
    <w:abstractNumId w:val="4"/>
  </w:num>
  <w:num w:numId="30" w16cid:durableId="1084376503">
    <w:abstractNumId w:val="17"/>
  </w:num>
  <w:num w:numId="31" w16cid:durableId="135583983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3074"/>
    <o:shapelayout v:ext="edit">
      <o:rules v:ext="edit">
        <o:r id="V:Rule1" type="connector" idref="#_x0000_s2049"/>
      </o:rules>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BB3"/>
    <w:rsid w:val="0000717D"/>
    <w:rsid w:val="00010B91"/>
    <w:rsid w:val="00012B9B"/>
    <w:rsid w:val="000415C3"/>
    <w:rsid w:val="00060AF9"/>
    <w:rsid w:val="00071B78"/>
    <w:rsid w:val="000904AD"/>
    <w:rsid w:val="000A6557"/>
    <w:rsid w:val="0011413E"/>
    <w:rsid w:val="00126ECD"/>
    <w:rsid w:val="00140452"/>
    <w:rsid w:val="00142124"/>
    <w:rsid w:val="00164484"/>
    <w:rsid w:val="001736EA"/>
    <w:rsid w:val="001A34B8"/>
    <w:rsid w:val="001A5067"/>
    <w:rsid w:val="001E4FAB"/>
    <w:rsid w:val="00220457"/>
    <w:rsid w:val="002638E1"/>
    <w:rsid w:val="00283B65"/>
    <w:rsid w:val="00284672"/>
    <w:rsid w:val="002B1A24"/>
    <w:rsid w:val="002C39FE"/>
    <w:rsid w:val="002E3C02"/>
    <w:rsid w:val="002E4A3C"/>
    <w:rsid w:val="00305485"/>
    <w:rsid w:val="00324E2C"/>
    <w:rsid w:val="0038189B"/>
    <w:rsid w:val="003B359F"/>
    <w:rsid w:val="003D07CC"/>
    <w:rsid w:val="003D3AC0"/>
    <w:rsid w:val="004457E7"/>
    <w:rsid w:val="00466FBF"/>
    <w:rsid w:val="004777BB"/>
    <w:rsid w:val="004B3BBF"/>
    <w:rsid w:val="004F7A5E"/>
    <w:rsid w:val="00521A43"/>
    <w:rsid w:val="005B0B74"/>
    <w:rsid w:val="005D7D8E"/>
    <w:rsid w:val="005F2487"/>
    <w:rsid w:val="005F6CF7"/>
    <w:rsid w:val="00610031"/>
    <w:rsid w:val="0062070B"/>
    <w:rsid w:val="00625AB4"/>
    <w:rsid w:val="00632100"/>
    <w:rsid w:val="00634F5F"/>
    <w:rsid w:val="0063680F"/>
    <w:rsid w:val="006539A1"/>
    <w:rsid w:val="006828EB"/>
    <w:rsid w:val="00695AB7"/>
    <w:rsid w:val="006A0238"/>
    <w:rsid w:val="006E5B11"/>
    <w:rsid w:val="007163AE"/>
    <w:rsid w:val="00737BD4"/>
    <w:rsid w:val="007511BE"/>
    <w:rsid w:val="00752A98"/>
    <w:rsid w:val="007645BA"/>
    <w:rsid w:val="00773A6E"/>
    <w:rsid w:val="007A40DF"/>
    <w:rsid w:val="007B36E0"/>
    <w:rsid w:val="007E4A58"/>
    <w:rsid w:val="007F670F"/>
    <w:rsid w:val="007F74E2"/>
    <w:rsid w:val="008331BE"/>
    <w:rsid w:val="00843D00"/>
    <w:rsid w:val="00850D36"/>
    <w:rsid w:val="00891735"/>
    <w:rsid w:val="008A0AFD"/>
    <w:rsid w:val="009C5A43"/>
    <w:rsid w:val="00A02539"/>
    <w:rsid w:val="00A27B0B"/>
    <w:rsid w:val="00A324FB"/>
    <w:rsid w:val="00A43097"/>
    <w:rsid w:val="00A52585"/>
    <w:rsid w:val="00A83057"/>
    <w:rsid w:val="00A9268B"/>
    <w:rsid w:val="00AE6B0B"/>
    <w:rsid w:val="00AF72F7"/>
    <w:rsid w:val="00BA6EA1"/>
    <w:rsid w:val="00BE1295"/>
    <w:rsid w:val="00C82DBF"/>
    <w:rsid w:val="00CC0070"/>
    <w:rsid w:val="00CC5878"/>
    <w:rsid w:val="00D019B6"/>
    <w:rsid w:val="00DB34D5"/>
    <w:rsid w:val="00DD1660"/>
    <w:rsid w:val="00DD1FFF"/>
    <w:rsid w:val="00E00785"/>
    <w:rsid w:val="00E01971"/>
    <w:rsid w:val="00E20DF2"/>
    <w:rsid w:val="00E36D1F"/>
    <w:rsid w:val="00E44BB3"/>
    <w:rsid w:val="00E51DAC"/>
    <w:rsid w:val="00E5370B"/>
    <w:rsid w:val="00EA5D65"/>
    <w:rsid w:val="00EB2CC3"/>
    <w:rsid w:val="00FB06DD"/>
    <w:rsid w:val="00FB69BC"/>
    <w:rsid w:val="00FD4628"/>
    <w:rsid w:val="00FD70A8"/>
    <w:rsid w:val="00FE71C2"/>
    <w:rsid w:val="00FF42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1BECF074"/>
  <w15:chartTrackingRefBased/>
  <w15:docId w15:val="{CA73F8FC-C37E-4F41-B8B9-CC2374FFF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rsid w:val="00E20DF2"/>
    <w:pPr>
      <w:keepNext/>
      <w:keepLines/>
      <w:spacing w:before="480" w:line="276" w:lineRule="auto"/>
      <w:outlineLvl w:val="0"/>
    </w:pPr>
    <w:rPr>
      <w:rFonts w:ascii="Calibri Light" w:eastAsia="Times New Roman" w:hAnsi="Calibri Light"/>
      <w:b/>
      <w:bCs/>
      <w:color w:val="2E74B5"/>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4BB3"/>
    <w:pPr>
      <w:tabs>
        <w:tab w:val="center" w:pos="4680"/>
        <w:tab w:val="right" w:pos="9360"/>
      </w:tabs>
    </w:pPr>
  </w:style>
  <w:style w:type="character" w:customStyle="1" w:styleId="HeaderChar">
    <w:name w:val="Header Char"/>
    <w:link w:val="Header"/>
    <w:uiPriority w:val="99"/>
    <w:rsid w:val="00E44BB3"/>
    <w:rPr>
      <w:sz w:val="22"/>
      <w:szCs w:val="22"/>
    </w:rPr>
  </w:style>
  <w:style w:type="paragraph" w:styleId="Footer">
    <w:name w:val="footer"/>
    <w:basedOn w:val="Normal"/>
    <w:link w:val="FooterChar"/>
    <w:uiPriority w:val="99"/>
    <w:unhideWhenUsed/>
    <w:rsid w:val="00E44BB3"/>
    <w:pPr>
      <w:tabs>
        <w:tab w:val="center" w:pos="4680"/>
        <w:tab w:val="right" w:pos="9360"/>
      </w:tabs>
    </w:pPr>
  </w:style>
  <w:style w:type="character" w:customStyle="1" w:styleId="FooterChar">
    <w:name w:val="Footer Char"/>
    <w:link w:val="Footer"/>
    <w:uiPriority w:val="99"/>
    <w:rsid w:val="00E44BB3"/>
    <w:rPr>
      <w:sz w:val="22"/>
      <w:szCs w:val="22"/>
    </w:rPr>
  </w:style>
  <w:style w:type="paragraph" w:customStyle="1" w:styleId="Default">
    <w:name w:val="Default"/>
    <w:rsid w:val="00E44BB3"/>
    <w:pPr>
      <w:autoSpaceDE w:val="0"/>
      <w:autoSpaceDN w:val="0"/>
      <w:adjustRightInd w:val="0"/>
    </w:pPr>
    <w:rPr>
      <w:rFonts w:ascii="Times New Roman" w:hAnsi="Times New Roman"/>
      <w:color w:val="000000"/>
      <w:sz w:val="24"/>
      <w:szCs w:val="24"/>
    </w:rPr>
  </w:style>
  <w:style w:type="paragraph" w:styleId="NoSpacing">
    <w:name w:val="No Spacing"/>
    <w:uiPriority w:val="1"/>
    <w:qFormat/>
    <w:rsid w:val="00142124"/>
    <w:rPr>
      <w:sz w:val="22"/>
      <w:szCs w:val="22"/>
    </w:rPr>
  </w:style>
  <w:style w:type="table" w:styleId="TableGrid">
    <w:name w:val="Table Grid"/>
    <w:basedOn w:val="TableNormal"/>
    <w:uiPriority w:val="59"/>
    <w:rsid w:val="001736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51DAC"/>
    <w:rPr>
      <w:rFonts w:ascii="Tahoma" w:hAnsi="Tahoma" w:cs="Tahoma"/>
      <w:sz w:val="16"/>
      <w:szCs w:val="16"/>
    </w:rPr>
  </w:style>
  <w:style w:type="character" w:customStyle="1" w:styleId="BalloonTextChar">
    <w:name w:val="Balloon Text Char"/>
    <w:link w:val="BalloonText"/>
    <w:uiPriority w:val="99"/>
    <w:semiHidden/>
    <w:rsid w:val="00E51DAC"/>
    <w:rPr>
      <w:rFonts w:ascii="Tahoma" w:hAnsi="Tahoma" w:cs="Tahoma"/>
      <w:sz w:val="16"/>
      <w:szCs w:val="16"/>
    </w:rPr>
  </w:style>
  <w:style w:type="paragraph" w:styleId="ListParagraph">
    <w:name w:val="List Paragraph"/>
    <w:basedOn w:val="Normal"/>
    <w:uiPriority w:val="34"/>
    <w:qFormat/>
    <w:rsid w:val="00891735"/>
    <w:pPr>
      <w:ind w:left="720"/>
    </w:pPr>
  </w:style>
  <w:style w:type="paragraph" w:styleId="BodyText">
    <w:name w:val="Body Text"/>
    <w:basedOn w:val="Normal"/>
    <w:link w:val="BodyTextChar"/>
    <w:rsid w:val="002E4A3C"/>
    <w:rPr>
      <w:rFonts w:ascii="Times New Roman" w:eastAsia="Times New Roman" w:hAnsi="Times New Roman"/>
      <w:b/>
      <w:bCs/>
      <w:sz w:val="24"/>
      <w:szCs w:val="24"/>
    </w:rPr>
  </w:style>
  <w:style w:type="character" w:customStyle="1" w:styleId="BodyTextChar">
    <w:name w:val="Body Text Char"/>
    <w:link w:val="BodyText"/>
    <w:rsid w:val="002E4A3C"/>
    <w:rPr>
      <w:rFonts w:ascii="Times New Roman" w:eastAsia="Times New Roman" w:hAnsi="Times New Roman"/>
      <w:b/>
      <w:bCs/>
      <w:sz w:val="24"/>
      <w:szCs w:val="24"/>
    </w:rPr>
  </w:style>
  <w:style w:type="character" w:customStyle="1" w:styleId="apple-style-span">
    <w:name w:val="apple-style-span"/>
    <w:rsid w:val="004777BB"/>
  </w:style>
  <w:style w:type="character" w:customStyle="1" w:styleId="grame">
    <w:name w:val="grame"/>
    <w:rsid w:val="00DB34D5"/>
  </w:style>
  <w:style w:type="character" w:customStyle="1" w:styleId="Heading1Char">
    <w:name w:val="Heading 1 Char"/>
    <w:link w:val="Heading1"/>
    <w:uiPriority w:val="9"/>
    <w:rsid w:val="00E20DF2"/>
    <w:rPr>
      <w:rFonts w:ascii="Calibri Light" w:eastAsia="Times New Roman" w:hAnsi="Calibri Light"/>
      <w:b/>
      <w:bCs/>
      <w:color w:val="2E74B5"/>
      <w:sz w:val="28"/>
      <w:szCs w:val="28"/>
    </w:rPr>
  </w:style>
  <w:style w:type="character" w:styleId="Hyperlink">
    <w:name w:val="Hyperlink"/>
    <w:uiPriority w:val="99"/>
    <w:unhideWhenUsed/>
    <w:rsid w:val="00FD4628"/>
    <w:rPr>
      <w:color w:val="0563C1"/>
      <w:u w:val="single"/>
    </w:rPr>
  </w:style>
  <w:style w:type="character" w:styleId="FollowedHyperlink">
    <w:name w:val="FollowedHyperlink"/>
    <w:uiPriority w:val="99"/>
    <w:semiHidden/>
    <w:unhideWhenUsed/>
    <w:rsid w:val="00FD4628"/>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573760">
      <w:bodyDiv w:val="1"/>
      <w:marLeft w:val="0"/>
      <w:marRight w:val="0"/>
      <w:marTop w:val="0"/>
      <w:marBottom w:val="0"/>
      <w:divBdr>
        <w:top w:val="none" w:sz="0" w:space="0" w:color="auto"/>
        <w:left w:val="none" w:sz="0" w:space="0" w:color="auto"/>
        <w:bottom w:val="none" w:sz="0" w:space="0" w:color="auto"/>
        <w:right w:val="none" w:sz="0" w:space="0" w:color="auto"/>
      </w:divBdr>
    </w:div>
    <w:div w:id="2024822951">
      <w:bodyDiv w:val="1"/>
      <w:marLeft w:val="0"/>
      <w:marRight w:val="0"/>
      <w:marTop w:val="0"/>
      <w:marBottom w:val="0"/>
      <w:divBdr>
        <w:top w:val="none" w:sz="0" w:space="0" w:color="auto"/>
        <w:left w:val="none" w:sz="0" w:space="0" w:color="auto"/>
        <w:bottom w:val="none" w:sz="0" w:space="0" w:color="auto"/>
        <w:right w:val="none" w:sz="0" w:space="0" w:color="auto"/>
      </w:divBdr>
      <w:divsChild>
        <w:div w:id="749817451">
          <w:marLeft w:val="0"/>
          <w:marRight w:val="0"/>
          <w:marTop w:val="0"/>
          <w:marBottom w:val="0"/>
          <w:divBdr>
            <w:top w:val="none" w:sz="0" w:space="0" w:color="auto"/>
            <w:left w:val="none" w:sz="0" w:space="0" w:color="auto"/>
            <w:bottom w:val="none" w:sz="0" w:space="0" w:color="auto"/>
            <w:right w:val="none" w:sz="0" w:space="0" w:color="auto"/>
          </w:divBdr>
          <w:divsChild>
            <w:div w:id="1925337058">
              <w:marLeft w:val="0"/>
              <w:marRight w:val="0"/>
              <w:marTop w:val="0"/>
              <w:marBottom w:val="0"/>
              <w:divBdr>
                <w:top w:val="none" w:sz="0" w:space="0" w:color="auto"/>
                <w:left w:val="none" w:sz="0" w:space="0" w:color="auto"/>
                <w:bottom w:val="none" w:sz="0" w:space="0" w:color="auto"/>
                <w:right w:val="none" w:sz="0" w:space="0" w:color="auto"/>
              </w:divBdr>
              <w:divsChild>
                <w:div w:id="1361591677">
                  <w:marLeft w:val="0"/>
                  <w:marRight w:val="0"/>
                  <w:marTop w:val="0"/>
                  <w:marBottom w:val="0"/>
                  <w:divBdr>
                    <w:top w:val="none" w:sz="0" w:space="0" w:color="auto"/>
                    <w:left w:val="none" w:sz="0" w:space="0" w:color="auto"/>
                    <w:bottom w:val="none" w:sz="0" w:space="0" w:color="auto"/>
                    <w:right w:val="none" w:sz="0" w:space="0" w:color="auto"/>
                  </w:divBdr>
                  <w:divsChild>
                    <w:div w:id="2147117172">
                      <w:marLeft w:val="0"/>
                      <w:marRight w:val="0"/>
                      <w:marTop w:val="0"/>
                      <w:marBottom w:val="0"/>
                      <w:divBdr>
                        <w:top w:val="none" w:sz="0" w:space="0" w:color="auto"/>
                        <w:left w:val="none" w:sz="0" w:space="0" w:color="auto"/>
                        <w:bottom w:val="none" w:sz="0" w:space="0" w:color="auto"/>
                        <w:right w:val="none" w:sz="0" w:space="0" w:color="auto"/>
                      </w:divBdr>
                      <w:divsChild>
                        <w:div w:id="811866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hs.gov/ohrp/humansubjects/guidance/45cfr46.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po.gov/fdsys/pkg/FR-2017-01-19/html/2017-01058.ht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hhs.gov/ohrp/humansubjects/guidance/45cfr46.html" TargetMode="External"/><Relationship Id="rId4" Type="http://schemas.openxmlformats.org/officeDocument/2006/relationships/webSettings" Target="webSettings.xml"/><Relationship Id="rId9" Type="http://schemas.openxmlformats.org/officeDocument/2006/relationships/hyperlink" Target="http://www.hhs.gov/ohrp/humansubjects/guidance/45cfr46.html"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washko\Desktop\CORBE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CORBEL</Template>
  <TotalTime>1</TotalTime>
  <Pages>2</Pages>
  <Words>752</Words>
  <Characters>4292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Kent State University</Company>
  <LinksUpToDate>false</LinksUpToDate>
  <CharactersWithSpaces>5034</CharactersWithSpaces>
  <SharedDoc>false</SharedDoc>
  <HLinks>
    <vt:vector size="24" baseType="variant">
      <vt:variant>
        <vt:i4>1310751</vt:i4>
      </vt:variant>
      <vt:variant>
        <vt:i4>9</vt:i4>
      </vt:variant>
      <vt:variant>
        <vt:i4>0</vt:i4>
      </vt:variant>
      <vt:variant>
        <vt:i4>5</vt:i4>
      </vt:variant>
      <vt:variant>
        <vt:lpwstr>http://www.hhs.gov/ohrp/humansubjects/guidance/45cfr46.html</vt:lpwstr>
      </vt:variant>
      <vt:variant>
        <vt:lpwstr>46.117</vt:lpwstr>
      </vt:variant>
      <vt:variant>
        <vt:i4>1376287</vt:i4>
      </vt:variant>
      <vt:variant>
        <vt:i4>6</vt:i4>
      </vt:variant>
      <vt:variant>
        <vt:i4>0</vt:i4>
      </vt:variant>
      <vt:variant>
        <vt:i4>5</vt:i4>
      </vt:variant>
      <vt:variant>
        <vt:lpwstr>http://www.hhs.gov/ohrp/humansubjects/guidance/45cfr46.html</vt:lpwstr>
      </vt:variant>
      <vt:variant>
        <vt:lpwstr>46.116</vt:lpwstr>
      </vt:variant>
      <vt:variant>
        <vt:i4>1179679</vt:i4>
      </vt:variant>
      <vt:variant>
        <vt:i4>3</vt:i4>
      </vt:variant>
      <vt:variant>
        <vt:i4>0</vt:i4>
      </vt:variant>
      <vt:variant>
        <vt:i4>5</vt:i4>
      </vt:variant>
      <vt:variant>
        <vt:lpwstr>http://www.hhs.gov/ohrp/humansubjects/guidance/45cfr46.html</vt:lpwstr>
      </vt:variant>
      <vt:variant>
        <vt:lpwstr>46.111</vt:lpwstr>
      </vt:variant>
      <vt:variant>
        <vt:i4>3866685</vt:i4>
      </vt:variant>
      <vt:variant>
        <vt:i4>0</vt:i4>
      </vt:variant>
      <vt:variant>
        <vt:i4>0</vt:i4>
      </vt:variant>
      <vt:variant>
        <vt:i4>5</vt:i4>
      </vt:variant>
      <vt:variant>
        <vt:lpwstr>https://www.gpo.gov/fdsys/pkg/FR-2017-01-19/html/2017-01058.htm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Washko, Paulette</dc:creator>
  <cp:keywords/>
  <cp:lastModifiedBy>Pfeiffer, Sarah</cp:lastModifiedBy>
  <cp:revision>2</cp:revision>
  <cp:lastPrinted>2018-08-14T20:23:00Z</cp:lastPrinted>
  <dcterms:created xsi:type="dcterms:W3CDTF">2026-05-05T14:04:00Z</dcterms:created>
  <dcterms:modified xsi:type="dcterms:W3CDTF">2026-05-05T14:04:00Z</dcterms:modified>
</cp:coreProperties>
</file>