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E5" w:rsidRDefault="006D68E5" w:rsidP="00EF0C7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002060"/>
          <w:spacing w:val="5"/>
          <w:kern w:val="28"/>
          <w:sz w:val="36"/>
          <w:szCs w:val="36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noProof/>
          <w:color w:val="002060"/>
          <w:spacing w:val="5"/>
          <w:kern w:val="28"/>
          <w:sz w:val="36"/>
          <w:szCs w:val="36"/>
        </w:rPr>
        <w:drawing>
          <wp:inline distT="0" distB="0" distL="0" distR="0">
            <wp:extent cx="3427012" cy="10177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886"/>
                    <a:stretch/>
                  </pic:blipFill>
                  <pic:spPr bwMode="auto">
                    <a:xfrm>
                      <a:off x="0" y="0"/>
                      <a:ext cx="3429000" cy="101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8E5" w:rsidRDefault="006D68E5" w:rsidP="00EF0C7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002060"/>
          <w:spacing w:val="5"/>
          <w:kern w:val="28"/>
          <w:sz w:val="36"/>
          <w:szCs w:val="36"/>
        </w:rPr>
      </w:pPr>
    </w:p>
    <w:p w:rsidR="006D68E5" w:rsidRDefault="006D68E5" w:rsidP="00EF0C7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002060"/>
          <w:spacing w:val="5"/>
          <w:kern w:val="28"/>
          <w:sz w:val="36"/>
          <w:szCs w:val="36"/>
        </w:rPr>
      </w:pPr>
    </w:p>
    <w:p w:rsidR="00EF0C78" w:rsidRPr="006D68E5" w:rsidRDefault="00EF0C78" w:rsidP="006D68E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002060"/>
          <w:spacing w:val="5"/>
          <w:kern w:val="28"/>
          <w:sz w:val="36"/>
          <w:szCs w:val="36"/>
        </w:rPr>
      </w:pPr>
      <w:r w:rsidRPr="006D68E5">
        <w:rPr>
          <w:rFonts w:asciiTheme="majorHAnsi" w:eastAsiaTheme="majorEastAsia" w:hAnsiTheme="majorHAnsi" w:cstheme="majorBidi"/>
          <w:b/>
          <w:color w:val="002060"/>
          <w:spacing w:val="5"/>
          <w:kern w:val="28"/>
          <w:sz w:val="36"/>
          <w:szCs w:val="36"/>
        </w:rPr>
        <w:t>College Credit Plus Pathways</w:t>
      </w:r>
      <w:r w:rsidR="006D68E5" w:rsidRPr="006D68E5">
        <w:rPr>
          <w:rFonts w:asciiTheme="majorHAnsi" w:eastAsiaTheme="majorEastAsia" w:hAnsiTheme="majorHAnsi" w:cstheme="majorBidi"/>
          <w:b/>
          <w:color w:val="002060"/>
          <w:spacing w:val="5"/>
          <w:kern w:val="28"/>
          <w:sz w:val="36"/>
          <w:szCs w:val="36"/>
        </w:rPr>
        <w:t xml:space="preserve"> </w:t>
      </w:r>
    </w:p>
    <w:p w:rsidR="00EF0C78" w:rsidRDefault="00EF0C78" w:rsidP="00EF0C78">
      <w:pPr>
        <w:spacing w:line="240" w:lineRule="auto"/>
        <w:rPr>
          <w:sz w:val="20"/>
          <w:szCs w:val="20"/>
        </w:rPr>
      </w:pPr>
    </w:p>
    <w:p w:rsidR="00B4514B" w:rsidRDefault="00EF0C78" w:rsidP="00EF0C78">
      <w:pPr>
        <w:spacing w:line="240" w:lineRule="auto"/>
        <w:rPr>
          <w:sz w:val="20"/>
          <w:szCs w:val="20"/>
        </w:rPr>
      </w:pPr>
      <w:r w:rsidRPr="00137983">
        <w:rPr>
          <w:sz w:val="20"/>
          <w:szCs w:val="20"/>
        </w:rPr>
        <w:t xml:space="preserve">Students </w:t>
      </w:r>
      <w:r>
        <w:rPr>
          <w:sz w:val="20"/>
          <w:szCs w:val="20"/>
        </w:rPr>
        <w:t xml:space="preserve">participating in College Credit Plus select course(s) to be taken after </w:t>
      </w:r>
      <w:r w:rsidRPr="00137983">
        <w:rPr>
          <w:sz w:val="20"/>
          <w:szCs w:val="20"/>
        </w:rPr>
        <w:t xml:space="preserve">consultation with </w:t>
      </w:r>
      <w:r>
        <w:rPr>
          <w:sz w:val="20"/>
          <w:szCs w:val="20"/>
        </w:rPr>
        <w:t xml:space="preserve">both </w:t>
      </w:r>
      <w:r w:rsidRPr="00137983">
        <w:rPr>
          <w:sz w:val="20"/>
          <w:szCs w:val="20"/>
        </w:rPr>
        <w:t xml:space="preserve">their </w:t>
      </w:r>
      <w:r>
        <w:rPr>
          <w:sz w:val="20"/>
          <w:szCs w:val="20"/>
        </w:rPr>
        <w:t xml:space="preserve">high </w:t>
      </w:r>
      <w:r w:rsidRPr="00137983">
        <w:rPr>
          <w:sz w:val="20"/>
          <w:szCs w:val="20"/>
        </w:rPr>
        <w:t xml:space="preserve">school counselor and </w:t>
      </w:r>
      <w:r>
        <w:rPr>
          <w:sz w:val="20"/>
          <w:szCs w:val="20"/>
        </w:rPr>
        <w:t xml:space="preserve">their </w:t>
      </w:r>
      <w:r w:rsidRPr="00137983">
        <w:rPr>
          <w:sz w:val="20"/>
          <w:szCs w:val="20"/>
        </w:rPr>
        <w:t>Kent State University academic</w:t>
      </w:r>
      <w:r>
        <w:rPr>
          <w:sz w:val="20"/>
          <w:szCs w:val="20"/>
        </w:rPr>
        <w:t xml:space="preserve"> advisor.  Course enrollment may be determined by</w:t>
      </w:r>
      <w:r w:rsidRPr="00137983">
        <w:rPr>
          <w:sz w:val="20"/>
          <w:szCs w:val="20"/>
        </w:rPr>
        <w:t xml:space="preserve"> placement</w:t>
      </w:r>
      <w:r>
        <w:rPr>
          <w:sz w:val="20"/>
          <w:szCs w:val="20"/>
        </w:rPr>
        <w:t xml:space="preserve"> recommendations</w:t>
      </w:r>
      <w:r w:rsidRPr="0013798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course prerequisites, </w:t>
      </w:r>
      <w:r w:rsidRPr="00137983">
        <w:rPr>
          <w:sz w:val="20"/>
          <w:szCs w:val="20"/>
        </w:rPr>
        <w:t xml:space="preserve">academic goals, </w:t>
      </w:r>
      <w:r>
        <w:rPr>
          <w:sz w:val="20"/>
          <w:szCs w:val="20"/>
        </w:rPr>
        <w:t>high school graduation requirements, intended college major, and</w:t>
      </w:r>
      <w:r w:rsidRPr="00137983">
        <w:rPr>
          <w:sz w:val="20"/>
          <w:szCs w:val="20"/>
        </w:rPr>
        <w:t xml:space="preserve"> course availability.  </w:t>
      </w:r>
    </w:p>
    <w:p w:rsidR="00EE02F5" w:rsidRDefault="00B4514B" w:rsidP="00EE02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15 and 30 credit hour Pathways below represent a sample of courses that may be taken by a typical full-time, first year college student.  </w:t>
      </w:r>
      <w:r w:rsidR="00181825">
        <w:rPr>
          <w:sz w:val="20"/>
          <w:szCs w:val="20"/>
        </w:rPr>
        <w:t>CCP s</w:t>
      </w:r>
      <w:r w:rsidR="00EF0C78">
        <w:rPr>
          <w:sz w:val="20"/>
          <w:szCs w:val="20"/>
        </w:rPr>
        <w:t xml:space="preserve">tudents may select from courses that are not part of the </w:t>
      </w:r>
      <w:r>
        <w:rPr>
          <w:sz w:val="20"/>
          <w:szCs w:val="20"/>
        </w:rPr>
        <w:t xml:space="preserve">15 and 30 credit hour </w:t>
      </w:r>
      <w:r w:rsidR="00EF0C78">
        <w:rPr>
          <w:sz w:val="20"/>
          <w:szCs w:val="20"/>
        </w:rPr>
        <w:t xml:space="preserve">Pathways and are not required to attend </w:t>
      </w:r>
      <w:r w:rsidR="00EF0C78" w:rsidRPr="000B2A0E">
        <w:rPr>
          <w:sz w:val="20"/>
          <w:szCs w:val="20"/>
        </w:rPr>
        <w:t>Kent State University</w:t>
      </w:r>
      <w:r w:rsidR="00EF0C78">
        <w:rPr>
          <w:sz w:val="20"/>
          <w:szCs w:val="20"/>
        </w:rPr>
        <w:t xml:space="preserve"> full time</w:t>
      </w:r>
      <w:r w:rsidR="00181825">
        <w:rPr>
          <w:sz w:val="20"/>
          <w:szCs w:val="20"/>
        </w:rPr>
        <w:t>.  They</w:t>
      </w:r>
      <w:r>
        <w:rPr>
          <w:sz w:val="20"/>
          <w:szCs w:val="20"/>
        </w:rPr>
        <w:t xml:space="preserve"> are limited to no more than 16 credit hours per semester and </w:t>
      </w:r>
      <w:r w:rsidR="00181825">
        <w:rPr>
          <w:sz w:val="20"/>
          <w:szCs w:val="20"/>
        </w:rPr>
        <w:t xml:space="preserve">no more than </w:t>
      </w:r>
      <w:r>
        <w:rPr>
          <w:sz w:val="20"/>
          <w:szCs w:val="20"/>
        </w:rPr>
        <w:t>30 credit hours per academic year</w:t>
      </w:r>
      <w:r w:rsidR="00EF0C78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EE02F5">
        <w:rPr>
          <w:sz w:val="20"/>
          <w:szCs w:val="20"/>
        </w:rPr>
        <w:t xml:space="preserve">Students should refer to the Kent State University Roadmaps available online at:  </w:t>
      </w:r>
      <w:hyperlink r:id="rId6" w:history="1">
        <w:r w:rsidR="00EE02F5" w:rsidRPr="00741E1C">
          <w:rPr>
            <w:rStyle w:val="Hyperlink"/>
            <w:sz w:val="20"/>
            <w:szCs w:val="20"/>
          </w:rPr>
          <w:t>http://solutions.kent.edu/GPS/ROADMAP/browse/ug/all</w:t>
        </w:r>
      </w:hyperlink>
      <w:r w:rsidR="00EE02F5">
        <w:rPr>
          <w:sz w:val="20"/>
          <w:szCs w:val="20"/>
        </w:rPr>
        <w:t xml:space="preserve"> as a guide to </w:t>
      </w:r>
      <w:r>
        <w:rPr>
          <w:sz w:val="20"/>
          <w:szCs w:val="20"/>
        </w:rPr>
        <w:t xml:space="preserve">the </w:t>
      </w:r>
      <w:r w:rsidR="00181825">
        <w:rPr>
          <w:sz w:val="20"/>
          <w:szCs w:val="20"/>
        </w:rPr>
        <w:t xml:space="preserve">Kent </w:t>
      </w:r>
      <w:r>
        <w:rPr>
          <w:sz w:val="20"/>
          <w:szCs w:val="20"/>
        </w:rPr>
        <w:t xml:space="preserve">CORE and additional required </w:t>
      </w:r>
      <w:r w:rsidR="00EE02F5">
        <w:rPr>
          <w:sz w:val="20"/>
          <w:szCs w:val="20"/>
        </w:rPr>
        <w:t>courses for a specific major or degree program</w:t>
      </w:r>
      <w:r>
        <w:rPr>
          <w:sz w:val="20"/>
          <w:szCs w:val="20"/>
        </w:rPr>
        <w:t xml:space="preserve"> of interest to them</w:t>
      </w:r>
      <w:r w:rsidR="00EE02F5">
        <w:rPr>
          <w:sz w:val="20"/>
          <w:szCs w:val="20"/>
        </w:rPr>
        <w:t>.</w:t>
      </w:r>
    </w:p>
    <w:p w:rsidR="00EF0C78" w:rsidRDefault="00EF0C78" w:rsidP="00EF0C78">
      <w:pPr>
        <w:spacing w:line="240" w:lineRule="auto"/>
        <w:rPr>
          <w:sz w:val="20"/>
          <w:szCs w:val="20"/>
        </w:rPr>
      </w:pPr>
    </w:p>
    <w:p w:rsidR="00EF0C78" w:rsidRDefault="00EF0C78" w:rsidP="00EF0C78">
      <w:pPr>
        <w:pStyle w:val="Heading2"/>
        <w:jc w:val="center"/>
        <w:rPr>
          <w:color w:val="002060"/>
        </w:rPr>
      </w:pPr>
      <w:r w:rsidRPr="000D201C">
        <w:rPr>
          <w:color w:val="002060"/>
        </w:rPr>
        <w:t>15 Credit Hour Pathway</w:t>
      </w:r>
    </w:p>
    <w:p w:rsidR="00EF0C78" w:rsidRPr="00A173FD" w:rsidRDefault="00EF0C78" w:rsidP="00EF0C78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jc w:val="center"/>
        <w:tblInd w:w="-606" w:type="dxa"/>
        <w:tblLayout w:type="fixed"/>
        <w:tblLook w:val="04A0" w:firstRow="1" w:lastRow="0" w:firstColumn="1" w:lastColumn="0" w:noHBand="0" w:noVBand="1"/>
      </w:tblPr>
      <w:tblGrid>
        <w:gridCol w:w="4770"/>
        <w:gridCol w:w="1685"/>
        <w:gridCol w:w="1530"/>
      </w:tblGrid>
      <w:tr w:rsidR="00EF0C78" w:rsidTr="00AD04C2">
        <w:trPr>
          <w:jc w:val="center"/>
        </w:trPr>
        <w:tc>
          <w:tcPr>
            <w:tcW w:w="4770" w:type="dxa"/>
            <w:shd w:val="pct10" w:color="auto" w:fill="auto"/>
          </w:tcPr>
          <w:p w:rsidR="00EF0C78" w:rsidRDefault="00EF0C78" w:rsidP="00AD04C2">
            <w:pPr>
              <w:rPr>
                <w:sz w:val="20"/>
                <w:szCs w:val="20"/>
              </w:rPr>
            </w:pPr>
            <w:r w:rsidRPr="00DB0A61">
              <w:rPr>
                <w:sz w:val="20"/>
                <w:szCs w:val="20"/>
              </w:rPr>
              <w:t xml:space="preserve">Kent </w:t>
            </w:r>
            <w:r>
              <w:rPr>
                <w:sz w:val="20"/>
                <w:szCs w:val="20"/>
              </w:rPr>
              <w:t>State University</w:t>
            </w:r>
          </w:p>
          <w:p w:rsidR="00EF0C78" w:rsidRPr="00DB0A61" w:rsidRDefault="00EF0C78" w:rsidP="00AD04C2">
            <w:pPr>
              <w:rPr>
                <w:sz w:val="20"/>
                <w:szCs w:val="20"/>
              </w:rPr>
            </w:pPr>
            <w:r w:rsidRPr="00DB0A61">
              <w:rPr>
                <w:sz w:val="20"/>
                <w:szCs w:val="20"/>
              </w:rPr>
              <w:t>Course Name &amp; Number</w:t>
            </w:r>
          </w:p>
        </w:tc>
        <w:tc>
          <w:tcPr>
            <w:tcW w:w="1685" w:type="dxa"/>
            <w:shd w:val="pct10" w:color="auto" w:fill="auto"/>
          </w:tcPr>
          <w:p w:rsidR="00EF0C78" w:rsidRPr="00DB0A61" w:rsidRDefault="00EF0C78" w:rsidP="00AD04C2">
            <w:pPr>
              <w:rPr>
                <w:sz w:val="20"/>
                <w:szCs w:val="20"/>
              </w:rPr>
            </w:pPr>
            <w:r w:rsidRPr="00DB0A61">
              <w:rPr>
                <w:sz w:val="20"/>
                <w:szCs w:val="20"/>
              </w:rPr>
              <w:t>Course Prerequisite</w:t>
            </w:r>
          </w:p>
        </w:tc>
        <w:tc>
          <w:tcPr>
            <w:tcW w:w="1530" w:type="dxa"/>
            <w:shd w:val="pct10" w:color="auto" w:fill="auto"/>
          </w:tcPr>
          <w:p w:rsidR="00EF0C78" w:rsidRPr="00DB0A61" w:rsidRDefault="00EF0C78" w:rsidP="00AD04C2">
            <w:pPr>
              <w:rPr>
                <w:sz w:val="20"/>
                <w:szCs w:val="20"/>
              </w:rPr>
            </w:pPr>
            <w:r w:rsidRPr="00DB0A61">
              <w:rPr>
                <w:sz w:val="20"/>
                <w:szCs w:val="20"/>
              </w:rPr>
              <w:t>College Credits</w:t>
            </w:r>
          </w:p>
        </w:tc>
      </w:tr>
      <w:tr w:rsidR="00EF0C78" w:rsidTr="00AD04C2">
        <w:trPr>
          <w:jc w:val="center"/>
        </w:trPr>
        <w:tc>
          <w:tcPr>
            <w:tcW w:w="4770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11011 - College Writing I</w:t>
            </w:r>
          </w:p>
        </w:tc>
        <w:tc>
          <w:tcPr>
            <w:tcW w:w="1685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Placement</w:t>
            </w:r>
          </w:p>
        </w:tc>
        <w:tc>
          <w:tcPr>
            <w:tcW w:w="1530" w:type="dxa"/>
          </w:tcPr>
          <w:p w:rsidR="00EF0C78" w:rsidRPr="00DB0A61" w:rsidRDefault="00EF0C78" w:rsidP="00AD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C78" w:rsidTr="00AD04C2">
        <w:trPr>
          <w:jc w:val="center"/>
        </w:trPr>
        <w:tc>
          <w:tcPr>
            <w:tcW w:w="4770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CORE Mathematics or Critical Reasoning Course</w:t>
            </w:r>
          </w:p>
        </w:tc>
        <w:tc>
          <w:tcPr>
            <w:tcW w:w="1685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Catalog </w:t>
            </w:r>
          </w:p>
        </w:tc>
        <w:tc>
          <w:tcPr>
            <w:tcW w:w="1530" w:type="dxa"/>
          </w:tcPr>
          <w:p w:rsidR="00EF0C78" w:rsidRPr="00DB0A61" w:rsidRDefault="00EF0C78" w:rsidP="00AD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EF0C78" w:rsidTr="00AD04C2">
        <w:trPr>
          <w:jc w:val="center"/>
        </w:trPr>
        <w:tc>
          <w:tcPr>
            <w:tcW w:w="4770" w:type="dxa"/>
          </w:tcPr>
          <w:p w:rsidR="00EF0C78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CORE Humanities or Fine Arts Course</w:t>
            </w:r>
          </w:p>
        </w:tc>
        <w:tc>
          <w:tcPr>
            <w:tcW w:w="1685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F0C78" w:rsidRDefault="00EF0C78" w:rsidP="00AD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C78" w:rsidTr="00AD04C2">
        <w:trPr>
          <w:jc w:val="center"/>
        </w:trPr>
        <w:tc>
          <w:tcPr>
            <w:tcW w:w="4770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CORE Social Science Course</w:t>
            </w:r>
          </w:p>
        </w:tc>
        <w:tc>
          <w:tcPr>
            <w:tcW w:w="1685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F0C78" w:rsidRPr="00DB0A61" w:rsidRDefault="00EF0C78" w:rsidP="00AD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C78" w:rsidTr="00AD04C2">
        <w:trPr>
          <w:jc w:val="center"/>
        </w:trPr>
        <w:tc>
          <w:tcPr>
            <w:tcW w:w="4770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CORE Basic Science Course</w:t>
            </w:r>
          </w:p>
        </w:tc>
        <w:tc>
          <w:tcPr>
            <w:tcW w:w="1685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Catalog</w:t>
            </w:r>
          </w:p>
        </w:tc>
        <w:tc>
          <w:tcPr>
            <w:tcW w:w="1530" w:type="dxa"/>
          </w:tcPr>
          <w:p w:rsidR="00EF0C78" w:rsidRPr="00DB0A61" w:rsidRDefault="00EF0C78" w:rsidP="00AD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EF0C78" w:rsidTr="00AD04C2">
        <w:trPr>
          <w:jc w:val="center"/>
        </w:trPr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pct10" w:color="auto" w:fill="auto"/>
          </w:tcPr>
          <w:p w:rsidR="00EF0C78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Credits:  </w:t>
            </w:r>
          </w:p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14-16 maximum per semester</w:t>
            </w:r>
          </w:p>
        </w:tc>
      </w:tr>
    </w:tbl>
    <w:p w:rsidR="006D68E5" w:rsidRDefault="006D68E5" w:rsidP="00EF0C78"/>
    <w:p w:rsidR="00EF0C78" w:rsidRDefault="00EF0C78" w:rsidP="00EF0C78">
      <w:pPr>
        <w:pStyle w:val="Heading2"/>
        <w:spacing w:before="0" w:line="240" w:lineRule="auto"/>
        <w:jc w:val="center"/>
        <w:rPr>
          <w:color w:val="002060"/>
        </w:rPr>
      </w:pPr>
      <w:r w:rsidRPr="000D201C">
        <w:rPr>
          <w:color w:val="002060"/>
        </w:rPr>
        <w:t>30 Credit Hour Pathway</w:t>
      </w:r>
    </w:p>
    <w:p w:rsidR="00EF0C78" w:rsidRPr="00A173FD" w:rsidRDefault="00EF0C78" w:rsidP="00EF0C78">
      <w:pPr>
        <w:pStyle w:val="Heading2"/>
        <w:spacing w:before="0" w:line="240" w:lineRule="auto"/>
        <w:jc w:val="center"/>
        <w:rPr>
          <w:rFonts w:asciiTheme="minorHAnsi" w:hAnsiTheme="minorHAnsi"/>
          <w:color w:val="002060"/>
          <w:sz w:val="18"/>
          <w:szCs w:val="18"/>
        </w:rPr>
      </w:pPr>
      <w:r>
        <w:rPr>
          <w:color w:val="002060"/>
        </w:rPr>
        <w:t xml:space="preserve"> (includes 15 Credit Hour Pathway above)</w:t>
      </w:r>
    </w:p>
    <w:p w:rsidR="00EF0C78" w:rsidRPr="00A173FD" w:rsidRDefault="00EF0C78" w:rsidP="00EF0C78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4898"/>
        <w:gridCol w:w="1685"/>
        <w:gridCol w:w="1504"/>
      </w:tblGrid>
      <w:tr w:rsidR="00EF0C78" w:rsidTr="00AD04C2">
        <w:trPr>
          <w:jc w:val="center"/>
        </w:trPr>
        <w:tc>
          <w:tcPr>
            <w:tcW w:w="4898" w:type="dxa"/>
            <w:shd w:val="pct10" w:color="auto" w:fill="auto"/>
          </w:tcPr>
          <w:p w:rsidR="00EF0C78" w:rsidRDefault="00EF0C78" w:rsidP="00AD04C2">
            <w:pPr>
              <w:rPr>
                <w:sz w:val="20"/>
                <w:szCs w:val="20"/>
              </w:rPr>
            </w:pPr>
            <w:r w:rsidRPr="00DB0A61">
              <w:rPr>
                <w:sz w:val="20"/>
                <w:szCs w:val="20"/>
              </w:rPr>
              <w:t xml:space="preserve">Kent </w:t>
            </w:r>
            <w:r>
              <w:rPr>
                <w:sz w:val="20"/>
                <w:szCs w:val="20"/>
              </w:rPr>
              <w:t xml:space="preserve">State University </w:t>
            </w:r>
          </w:p>
          <w:p w:rsidR="00EF0C78" w:rsidRPr="00DB0A61" w:rsidRDefault="00EF0C78" w:rsidP="00AD04C2">
            <w:pPr>
              <w:rPr>
                <w:sz w:val="20"/>
                <w:szCs w:val="20"/>
              </w:rPr>
            </w:pPr>
            <w:r w:rsidRPr="00DB0A61">
              <w:rPr>
                <w:sz w:val="20"/>
                <w:szCs w:val="20"/>
              </w:rPr>
              <w:t>Course Name &amp; Number</w:t>
            </w:r>
          </w:p>
        </w:tc>
        <w:tc>
          <w:tcPr>
            <w:tcW w:w="1685" w:type="dxa"/>
            <w:shd w:val="pct10" w:color="auto" w:fill="auto"/>
          </w:tcPr>
          <w:p w:rsidR="00EF0C78" w:rsidRPr="00DB0A61" w:rsidRDefault="00EF0C78" w:rsidP="00AD04C2">
            <w:pPr>
              <w:rPr>
                <w:sz w:val="20"/>
                <w:szCs w:val="20"/>
              </w:rPr>
            </w:pPr>
            <w:r w:rsidRPr="00DB0A61">
              <w:rPr>
                <w:sz w:val="20"/>
                <w:szCs w:val="20"/>
              </w:rPr>
              <w:t xml:space="preserve">Course </w:t>
            </w:r>
            <w:r>
              <w:rPr>
                <w:sz w:val="20"/>
                <w:szCs w:val="20"/>
              </w:rPr>
              <w:t>P</w:t>
            </w:r>
            <w:r w:rsidRPr="00DB0A61">
              <w:rPr>
                <w:sz w:val="20"/>
                <w:szCs w:val="20"/>
              </w:rPr>
              <w:t>rerequisite</w:t>
            </w:r>
          </w:p>
        </w:tc>
        <w:tc>
          <w:tcPr>
            <w:tcW w:w="1504" w:type="dxa"/>
            <w:shd w:val="pct10" w:color="auto" w:fill="auto"/>
          </w:tcPr>
          <w:p w:rsidR="00EF0C78" w:rsidRPr="00DB0A61" w:rsidRDefault="00EF0C78" w:rsidP="00AD04C2">
            <w:pPr>
              <w:rPr>
                <w:sz w:val="20"/>
                <w:szCs w:val="20"/>
              </w:rPr>
            </w:pPr>
            <w:r w:rsidRPr="00DB0A61">
              <w:rPr>
                <w:sz w:val="20"/>
                <w:szCs w:val="20"/>
              </w:rPr>
              <w:t>College Credits</w:t>
            </w:r>
          </w:p>
        </w:tc>
      </w:tr>
      <w:tr w:rsidR="00EF0C78" w:rsidTr="00AD04C2">
        <w:trPr>
          <w:jc w:val="center"/>
        </w:trPr>
        <w:tc>
          <w:tcPr>
            <w:tcW w:w="4898" w:type="dxa"/>
          </w:tcPr>
          <w:p w:rsidR="00EF0C78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CORE English course</w:t>
            </w:r>
          </w:p>
        </w:tc>
        <w:tc>
          <w:tcPr>
            <w:tcW w:w="1685" w:type="dxa"/>
          </w:tcPr>
          <w:p w:rsidR="00EF0C78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Catalog</w:t>
            </w:r>
          </w:p>
        </w:tc>
        <w:tc>
          <w:tcPr>
            <w:tcW w:w="1504" w:type="dxa"/>
          </w:tcPr>
          <w:p w:rsidR="00EF0C78" w:rsidRDefault="00EF0C78" w:rsidP="00AD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C78" w:rsidTr="00AD04C2">
        <w:trPr>
          <w:jc w:val="center"/>
        </w:trPr>
        <w:tc>
          <w:tcPr>
            <w:tcW w:w="4898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CORE Mathematics or Critical Reasoning Course</w:t>
            </w:r>
          </w:p>
        </w:tc>
        <w:tc>
          <w:tcPr>
            <w:tcW w:w="1685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Catalog </w:t>
            </w:r>
          </w:p>
        </w:tc>
        <w:tc>
          <w:tcPr>
            <w:tcW w:w="1504" w:type="dxa"/>
          </w:tcPr>
          <w:p w:rsidR="00EF0C78" w:rsidRPr="00DB0A61" w:rsidRDefault="00EF0C78" w:rsidP="00AD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EF0C78" w:rsidTr="00AD04C2">
        <w:trPr>
          <w:jc w:val="center"/>
        </w:trPr>
        <w:tc>
          <w:tcPr>
            <w:tcW w:w="4898" w:type="dxa"/>
          </w:tcPr>
          <w:p w:rsidR="00EF0C78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CORE Humanities or Fine Arts Course</w:t>
            </w:r>
          </w:p>
        </w:tc>
        <w:tc>
          <w:tcPr>
            <w:tcW w:w="1685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EF0C78" w:rsidRDefault="00EF0C78" w:rsidP="00AD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C78" w:rsidTr="00AD04C2">
        <w:trPr>
          <w:jc w:val="center"/>
        </w:trPr>
        <w:tc>
          <w:tcPr>
            <w:tcW w:w="4898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CORE Social Science Course</w:t>
            </w:r>
          </w:p>
        </w:tc>
        <w:tc>
          <w:tcPr>
            <w:tcW w:w="1685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EF0C78" w:rsidRPr="00DB0A61" w:rsidRDefault="00EF0C78" w:rsidP="00AD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C78" w:rsidTr="00AD04C2">
        <w:trPr>
          <w:jc w:val="center"/>
        </w:trPr>
        <w:tc>
          <w:tcPr>
            <w:tcW w:w="4898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CORE Basic Science Course</w:t>
            </w:r>
          </w:p>
        </w:tc>
        <w:tc>
          <w:tcPr>
            <w:tcW w:w="1685" w:type="dxa"/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Catalog</w:t>
            </w:r>
          </w:p>
        </w:tc>
        <w:tc>
          <w:tcPr>
            <w:tcW w:w="1504" w:type="dxa"/>
          </w:tcPr>
          <w:p w:rsidR="00EF0C78" w:rsidRPr="00DB0A61" w:rsidRDefault="00EF0C78" w:rsidP="00AD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EF0C78" w:rsidTr="00AD04C2">
        <w:trPr>
          <w:jc w:val="center"/>
        </w:trPr>
        <w:tc>
          <w:tcPr>
            <w:tcW w:w="4898" w:type="dxa"/>
            <w:tcBorders>
              <w:left w:val="nil"/>
              <w:bottom w:val="nil"/>
              <w:right w:val="nil"/>
            </w:tcBorders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EF0C78" w:rsidRPr="00DB0A61" w:rsidRDefault="00EF0C78" w:rsidP="00AD04C2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shd w:val="pct10" w:color="auto" w:fill="auto"/>
          </w:tcPr>
          <w:p w:rsidR="00EF0C78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Credits:  </w:t>
            </w:r>
          </w:p>
          <w:p w:rsidR="00EF0C78" w:rsidRPr="00DB0A61" w:rsidRDefault="00EF0C78" w:rsidP="00AD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14-16 maximum per semester</w:t>
            </w:r>
          </w:p>
        </w:tc>
      </w:tr>
    </w:tbl>
    <w:p w:rsidR="00E207D6" w:rsidRPr="006D68E5" w:rsidRDefault="003F7AF0" w:rsidP="006D68E5">
      <w:pPr>
        <w:rPr>
          <w:rFonts w:ascii="Times New Roman" w:hAnsi="Times New Roman" w:cs="Times New Roman"/>
          <w:sz w:val="24"/>
          <w:szCs w:val="24"/>
        </w:rPr>
      </w:pPr>
    </w:p>
    <w:sectPr w:rsidR="00E207D6" w:rsidRPr="006D68E5" w:rsidSect="006D68E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8"/>
    <w:rsid w:val="00181825"/>
    <w:rsid w:val="002A7A3B"/>
    <w:rsid w:val="002C0CFA"/>
    <w:rsid w:val="003F7AF0"/>
    <w:rsid w:val="00533775"/>
    <w:rsid w:val="006D68E5"/>
    <w:rsid w:val="00A3735F"/>
    <w:rsid w:val="00B4514B"/>
    <w:rsid w:val="00B5590F"/>
    <w:rsid w:val="00EE02F5"/>
    <w:rsid w:val="00E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0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0C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0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0C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utions.kent.edu/GPS/ROADMAP/browse/ug/a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Pionke, Johanna</dc:creator>
  <cp:lastModifiedBy>CRITES, MELISSA</cp:lastModifiedBy>
  <cp:revision>2</cp:revision>
  <cp:lastPrinted>2015-01-26T14:44:00Z</cp:lastPrinted>
  <dcterms:created xsi:type="dcterms:W3CDTF">2015-02-09T15:44:00Z</dcterms:created>
  <dcterms:modified xsi:type="dcterms:W3CDTF">2015-02-09T15:44:00Z</dcterms:modified>
</cp:coreProperties>
</file>