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AE3CB" w14:textId="2B882E5B" w:rsidR="00DC0385" w:rsidRPr="00491CE8" w:rsidRDefault="00DC0385" w:rsidP="00DC0385">
      <w:pPr>
        <w:rPr>
          <w:rFonts w:ascii="Arial" w:hAnsi="Arial" w:cs="Arial"/>
          <w:b/>
          <w:sz w:val="28"/>
          <w:szCs w:val="28"/>
        </w:rPr>
      </w:pPr>
      <w:r w:rsidRPr="00491CE8">
        <w:rPr>
          <w:rFonts w:ascii="Arial" w:hAnsi="Arial" w:cs="Arial"/>
          <w:b/>
          <w:sz w:val="28"/>
          <w:szCs w:val="28"/>
        </w:rPr>
        <w:t>Kent State University Foundation 201</w:t>
      </w:r>
      <w:r>
        <w:rPr>
          <w:rFonts w:ascii="Arial" w:hAnsi="Arial" w:cs="Arial"/>
          <w:b/>
          <w:sz w:val="28"/>
          <w:szCs w:val="28"/>
        </w:rPr>
        <w:t>9</w:t>
      </w:r>
      <w:r w:rsidRPr="00491CE8">
        <w:rPr>
          <w:rFonts w:ascii="Arial" w:hAnsi="Arial" w:cs="Arial"/>
          <w:b/>
          <w:sz w:val="28"/>
          <w:szCs w:val="28"/>
        </w:rPr>
        <w:t xml:space="preserve"> Generosity Report</w:t>
      </w:r>
    </w:p>
    <w:p w14:paraId="02FD1B42" w14:textId="77777777" w:rsidR="00274FA0" w:rsidRDefault="00274FA0" w:rsidP="00274FA0">
      <w:pPr>
        <w:rPr>
          <w:rFonts w:ascii="Arial" w:hAnsi="Arial" w:cs="Arial"/>
          <w:sz w:val="24"/>
          <w:szCs w:val="24"/>
        </w:rPr>
      </w:pPr>
    </w:p>
    <w:p w14:paraId="430B7477" w14:textId="269E1069" w:rsidR="00274FA0" w:rsidRDefault="002866CF" w:rsidP="00274F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Sets Us Apart Is How We Come Together</w:t>
      </w:r>
    </w:p>
    <w:p w14:paraId="297FC9A2" w14:textId="77777777" w:rsidR="00274FA0" w:rsidRDefault="00274FA0" w:rsidP="00274FA0">
      <w:pPr>
        <w:rPr>
          <w:rFonts w:ascii="Arial" w:hAnsi="Arial" w:cs="Arial"/>
          <w:sz w:val="24"/>
          <w:szCs w:val="24"/>
        </w:rPr>
      </w:pPr>
    </w:p>
    <w:p w14:paraId="5392EDD1" w14:textId="3C24EDC6" w:rsidR="00274FA0" w:rsidRDefault="00DC0385" w:rsidP="00274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2019 we received an astounding </w:t>
      </w:r>
      <w:r w:rsidR="00274FA0">
        <w:rPr>
          <w:rFonts w:ascii="Arial" w:hAnsi="Arial" w:cs="Arial"/>
          <w:b/>
          <w:sz w:val="24"/>
          <w:szCs w:val="24"/>
        </w:rPr>
        <w:t>$</w:t>
      </w:r>
      <w:r w:rsidR="00240A55">
        <w:rPr>
          <w:rFonts w:ascii="Arial" w:hAnsi="Arial" w:cs="Arial"/>
          <w:b/>
          <w:sz w:val="24"/>
          <w:szCs w:val="24"/>
        </w:rPr>
        <w:t>39.8</w:t>
      </w:r>
      <w:r w:rsidR="00274FA0">
        <w:rPr>
          <w:rFonts w:ascii="Arial" w:hAnsi="Arial" w:cs="Arial"/>
          <w:b/>
          <w:sz w:val="24"/>
          <w:szCs w:val="24"/>
        </w:rPr>
        <w:t xml:space="preserve"> million in gifts</w:t>
      </w:r>
      <w:r>
        <w:rPr>
          <w:rFonts w:ascii="Arial" w:hAnsi="Arial" w:cs="Arial"/>
          <w:b/>
          <w:sz w:val="24"/>
          <w:szCs w:val="24"/>
        </w:rPr>
        <w:t>.</w:t>
      </w:r>
    </w:p>
    <w:p w14:paraId="46BA5EFE" w14:textId="77777777" w:rsidR="00274FA0" w:rsidRDefault="00274FA0" w:rsidP="00274FA0">
      <w:pPr>
        <w:rPr>
          <w:rFonts w:ascii="Arial" w:hAnsi="Arial" w:cs="Arial"/>
          <w:sz w:val="24"/>
          <w:szCs w:val="24"/>
        </w:rPr>
      </w:pPr>
    </w:p>
    <w:p w14:paraId="1575BF2C" w14:textId="41386E7F" w:rsidR="00274FA0" w:rsidRPr="00DC0385" w:rsidRDefault="00274FA0" w:rsidP="00274F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Brighter Future – Thanks to You</w:t>
      </w:r>
    </w:p>
    <w:p w14:paraId="036E1B56" w14:textId="6731930F" w:rsidR="004D01A0" w:rsidRDefault="00274FA0" w:rsidP="004D01A0">
      <w:pPr>
        <w:rPr>
          <w:rFonts w:ascii="Arial" w:hAnsi="Arial" w:cs="Arial"/>
          <w:sz w:val="24"/>
          <w:szCs w:val="24"/>
        </w:rPr>
      </w:pPr>
      <w:r w:rsidRPr="004D01A0">
        <w:rPr>
          <w:rFonts w:ascii="Arial" w:hAnsi="Arial" w:cs="Arial"/>
          <w:sz w:val="24"/>
          <w:szCs w:val="24"/>
        </w:rPr>
        <w:t>Throughout the 201</w:t>
      </w:r>
      <w:r w:rsidR="004D01A0" w:rsidRPr="004D01A0">
        <w:rPr>
          <w:rFonts w:ascii="Arial" w:hAnsi="Arial" w:cs="Arial"/>
          <w:sz w:val="24"/>
          <w:szCs w:val="24"/>
        </w:rPr>
        <w:t>9</w:t>
      </w:r>
      <w:r w:rsidRPr="004D01A0">
        <w:rPr>
          <w:rFonts w:ascii="Arial" w:hAnsi="Arial" w:cs="Arial"/>
          <w:sz w:val="24"/>
          <w:szCs w:val="24"/>
        </w:rPr>
        <w:t xml:space="preserve"> fiscal year, Kent State received support from more than </w:t>
      </w:r>
      <w:r w:rsidR="004D01A0" w:rsidRPr="00D307CE">
        <w:rPr>
          <w:rFonts w:ascii="Arial" w:hAnsi="Arial" w:cs="Arial"/>
          <w:sz w:val="24"/>
          <w:szCs w:val="24"/>
        </w:rPr>
        <w:t>2</w:t>
      </w:r>
      <w:r w:rsidRPr="00D307CE">
        <w:rPr>
          <w:rFonts w:ascii="Arial" w:hAnsi="Arial" w:cs="Arial"/>
          <w:sz w:val="24"/>
          <w:szCs w:val="24"/>
        </w:rPr>
        <w:t>0,</w:t>
      </w:r>
      <w:r w:rsidR="00D307CE" w:rsidRPr="00D307CE">
        <w:rPr>
          <w:rFonts w:ascii="Arial" w:hAnsi="Arial" w:cs="Arial"/>
          <w:sz w:val="24"/>
          <w:szCs w:val="24"/>
        </w:rPr>
        <w:t>2</w:t>
      </w:r>
      <w:r w:rsidRPr="00D307CE">
        <w:rPr>
          <w:rFonts w:ascii="Arial" w:hAnsi="Arial" w:cs="Arial"/>
          <w:sz w:val="24"/>
          <w:szCs w:val="24"/>
        </w:rPr>
        <w:t xml:space="preserve">00 </w:t>
      </w:r>
      <w:r w:rsidRPr="004D01A0">
        <w:rPr>
          <w:rFonts w:ascii="Arial" w:hAnsi="Arial" w:cs="Arial"/>
          <w:sz w:val="24"/>
          <w:szCs w:val="24"/>
        </w:rPr>
        <w:t xml:space="preserve">alumni and friends for scholarships, </w:t>
      </w:r>
      <w:r w:rsidR="00231F50">
        <w:rPr>
          <w:rFonts w:ascii="Arial" w:hAnsi="Arial" w:cs="Arial"/>
          <w:sz w:val="24"/>
          <w:szCs w:val="24"/>
        </w:rPr>
        <w:t xml:space="preserve">academic </w:t>
      </w:r>
      <w:r w:rsidRPr="004D01A0">
        <w:rPr>
          <w:rFonts w:ascii="Arial" w:hAnsi="Arial" w:cs="Arial"/>
          <w:sz w:val="24"/>
          <w:szCs w:val="24"/>
        </w:rPr>
        <w:t xml:space="preserve">programs and funds that help us </w:t>
      </w:r>
      <w:r w:rsidR="00231F50">
        <w:rPr>
          <w:rFonts w:ascii="Arial" w:hAnsi="Arial" w:cs="Arial"/>
          <w:sz w:val="24"/>
          <w:szCs w:val="24"/>
        </w:rPr>
        <w:t>ensure</w:t>
      </w:r>
      <w:r w:rsidRPr="004D01A0">
        <w:rPr>
          <w:rFonts w:ascii="Arial" w:hAnsi="Arial" w:cs="Arial"/>
          <w:sz w:val="24"/>
          <w:szCs w:val="24"/>
        </w:rPr>
        <w:t xml:space="preserve"> student success</w:t>
      </w:r>
      <w:r w:rsidR="00231F50">
        <w:rPr>
          <w:rFonts w:ascii="Arial" w:hAnsi="Arial" w:cs="Arial"/>
          <w:sz w:val="24"/>
          <w:szCs w:val="24"/>
        </w:rPr>
        <w:t>, from convocation through graduation</w:t>
      </w:r>
      <w:r w:rsidRPr="004D01A0">
        <w:rPr>
          <w:rFonts w:ascii="Arial" w:hAnsi="Arial" w:cs="Arial"/>
          <w:sz w:val="24"/>
          <w:szCs w:val="24"/>
        </w:rPr>
        <w:t>. Life-changing scholarships were funded with $</w:t>
      </w:r>
      <w:r w:rsidR="004D01A0" w:rsidRPr="004D01A0">
        <w:rPr>
          <w:rFonts w:ascii="Arial" w:hAnsi="Arial" w:cs="Arial"/>
          <w:sz w:val="24"/>
          <w:szCs w:val="24"/>
        </w:rPr>
        <w:t>5.3</w:t>
      </w:r>
      <w:r w:rsidRPr="004D01A0">
        <w:rPr>
          <w:rFonts w:ascii="Arial" w:hAnsi="Arial" w:cs="Arial"/>
          <w:sz w:val="24"/>
          <w:szCs w:val="24"/>
        </w:rPr>
        <w:t xml:space="preserve"> million in generous private support</w:t>
      </w:r>
      <w:r w:rsidR="002866CF">
        <w:rPr>
          <w:rFonts w:ascii="Arial" w:hAnsi="Arial" w:cs="Arial"/>
          <w:sz w:val="24"/>
          <w:szCs w:val="24"/>
        </w:rPr>
        <w:t>, of the $39.8 million total raised</w:t>
      </w:r>
      <w:r w:rsidRPr="004D01A0">
        <w:rPr>
          <w:rFonts w:ascii="Arial" w:hAnsi="Arial" w:cs="Arial"/>
          <w:sz w:val="24"/>
          <w:szCs w:val="24"/>
        </w:rPr>
        <w:t>.</w:t>
      </w:r>
      <w:r w:rsidR="004D01A0">
        <w:rPr>
          <w:rFonts w:ascii="Arial" w:hAnsi="Arial" w:cs="Arial"/>
          <w:sz w:val="24"/>
          <w:szCs w:val="24"/>
        </w:rPr>
        <w:t xml:space="preserve"> </w:t>
      </w:r>
    </w:p>
    <w:p w14:paraId="01E9DA73" w14:textId="77777777" w:rsidR="004D01A0" w:rsidRPr="00274FA0" w:rsidRDefault="004D01A0" w:rsidP="00274FA0">
      <w:pPr>
        <w:rPr>
          <w:rFonts w:ascii="Arial" w:hAnsi="Arial" w:cs="Arial"/>
          <w:color w:val="FF0000"/>
          <w:sz w:val="24"/>
          <w:szCs w:val="24"/>
        </w:rPr>
      </w:pPr>
    </w:p>
    <w:p w14:paraId="62B9EA2A" w14:textId="09E90435" w:rsidR="00274FA0" w:rsidRPr="004D01A0" w:rsidRDefault="00253937" w:rsidP="00274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embrace our role as a reimagined public research university where priorities for access, excellence and affordability not only coexist, but merge as critical elements of a high-quality, distinctive learning environment.</w:t>
      </w:r>
    </w:p>
    <w:p w14:paraId="11592DD8" w14:textId="77777777" w:rsidR="00274FA0" w:rsidRPr="004D01A0" w:rsidRDefault="00274FA0" w:rsidP="00274FA0">
      <w:pPr>
        <w:rPr>
          <w:rFonts w:ascii="Arial" w:hAnsi="Arial" w:cs="Arial"/>
          <w:sz w:val="24"/>
          <w:szCs w:val="24"/>
        </w:rPr>
      </w:pPr>
    </w:p>
    <w:p w14:paraId="2540701E" w14:textId="7C5F3298" w:rsidR="00274FA0" w:rsidRPr="004D01A0" w:rsidRDefault="00274FA0" w:rsidP="00274FA0">
      <w:pPr>
        <w:rPr>
          <w:rFonts w:ascii="Arial" w:hAnsi="Arial" w:cs="Arial"/>
          <w:sz w:val="24"/>
          <w:szCs w:val="24"/>
        </w:rPr>
      </w:pPr>
      <w:r w:rsidRPr="004D01A0">
        <w:rPr>
          <w:rFonts w:ascii="Arial" w:hAnsi="Arial" w:cs="Arial"/>
          <w:sz w:val="24"/>
          <w:szCs w:val="24"/>
        </w:rPr>
        <w:t xml:space="preserve">Building </w:t>
      </w:r>
      <w:r w:rsidR="00253937">
        <w:rPr>
          <w:rFonts w:ascii="Arial" w:hAnsi="Arial" w:cs="Arial"/>
          <w:sz w:val="24"/>
          <w:szCs w:val="24"/>
        </w:rPr>
        <w:t>that</w:t>
      </w:r>
      <w:r w:rsidRPr="004D01A0">
        <w:rPr>
          <w:rFonts w:ascii="Arial" w:hAnsi="Arial" w:cs="Arial"/>
          <w:sz w:val="24"/>
          <w:szCs w:val="24"/>
        </w:rPr>
        <w:t xml:space="preserve"> learning environment, elevating faculty talent and igniting innovation </w:t>
      </w:r>
      <w:r w:rsidR="004D01A0">
        <w:rPr>
          <w:rFonts w:ascii="Arial" w:hAnsi="Arial" w:cs="Arial"/>
          <w:sz w:val="24"/>
          <w:szCs w:val="24"/>
        </w:rPr>
        <w:t xml:space="preserve">will provide the impetus </w:t>
      </w:r>
      <w:r w:rsidRPr="004D01A0">
        <w:rPr>
          <w:rFonts w:ascii="Arial" w:hAnsi="Arial" w:cs="Arial"/>
          <w:sz w:val="24"/>
          <w:szCs w:val="24"/>
        </w:rPr>
        <w:t xml:space="preserve">as we </w:t>
      </w:r>
      <w:r w:rsidR="00193D90">
        <w:rPr>
          <w:rFonts w:ascii="Arial" w:hAnsi="Arial" w:cs="Arial"/>
          <w:sz w:val="24"/>
          <w:szCs w:val="24"/>
        </w:rPr>
        <w:t>create</w:t>
      </w:r>
      <w:r w:rsidRPr="004D01A0">
        <w:rPr>
          <w:rFonts w:ascii="Arial" w:hAnsi="Arial" w:cs="Arial"/>
          <w:sz w:val="24"/>
          <w:szCs w:val="24"/>
        </w:rPr>
        <w:t xml:space="preserve"> </w:t>
      </w:r>
      <w:r w:rsidR="004D01A0">
        <w:rPr>
          <w:rFonts w:ascii="Arial" w:hAnsi="Arial" w:cs="Arial"/>
          <w:sz w:val="24"/>
          <w:szCs w:val="24"/>
        </w:rPr>
        <w:t>a transformative future</w:t>
      </w:r>
      <w:r w:rsidRPr="004D01A0">
        <w:rPr>
          <w:rFonts w:ascii="Arial" w:hAnsi="Arial" w:cs="Arial"/>
          <w:sz w:val="24"/>
          <w:szCs w:val="24"/>
        </w:rPr>
        <w:t xml:space="preserve"> together. And your </w:t>
      </w:r>
      <w:r w:rsidR="00231F50">
        <w:rPr>
          <w:rFonts w:ascii="Arial" w:hAnsi="Arial" w:cs="Arial"/>
          <w:sz w:val="24"/>
          <w:szCs w:val="24"/>
        </w:rPr>
        <w:t>investment and support enable us to</w:t>
      </w:r>
      <w:r w:rsidRPr="004D01A0">
        <w:rPr>
          <w:rFonts w:ascii="Arial" w:hAnsi="Arial" w:cs="Arial"/>
          <w:sz w:val="24"/>
          <w:szCs w:val="24"/>
        </w:rPr>
        <w:t xml:space="preserve"> ultimately achieve that goal.</w:t>
      </w:r>
    </w:p>
    <w:p w14:paraId="09C42400" w14:textId="77777777" w:rsidR="00537126" w:rsidRDefault="00537126" w:rsidP="00274FA0">
      <w:pPr>
        <w:rPr>
          <w:rFonts w:ascii="Arial" w:hAnsi="Arial" w:cs="Arial"/>
          <w:sz w:val="24"/>
          <w:szCs w:val="24"/>
        </w:rPr>
      </w:pPr>
    </w:p>
    <w:p w14:paraId="61E5B956" w14:textId="6B24F0BF" w:rsidR="00274FA0" w:rsidRDefault="00AD7684" w:rsidP="00274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grateful to</w:t>
      </w:r>
      <w:r w:rsidR="00274FA0">
        <w:rPr>
          <w:rFonts w:ascii="Arial" w:hAnsi="Arial" w:cs="Arial"/>
          <w:sz w:val="24"/>
          <w:szCs w:val="24"/>
        </w:rPr>
        <w:t xml:space="preserve"> our donors, friends and community. </w:t>
      </w:r>
      <w:r>
        <w:rPr>
          <w:rFonts w:ascii="Arial" w:hAnsi="Arial" w:cs="Arial"/>
          <w:sz w:val="24"/>
          <w:szCs w:val="24"/>
        </w:rPr>
        <w:t>You play a</w:t>
      </w:r>
      <w:r w:rsidR="00274FA0">
        <w:rPr>
          <w:rFonts w:ascii="Arial" w:hAnsi="Arial" w:cs="Arial"/>
          <w:sz w:val="24"/>
          <w:szCs w:val="24"/>
        </w:rPr>
        <w:t xml:space="preserve"> pivotal role in </w:t>
      </w:r>
      <w:r w:rsidR="00D307CE">
        <w:rPr>
          <w:rFonts w:ascii="Arial" w:hAnsi="Arial" w:cs="Arial"/>
          <w:sz w:val="24"/>
          <w:szCs w:val="24"/>
        </w:rPr>
        <w:t>creating an ever brighter future for</w:t>
      </w:r>
      <w:r w:rsidR="00274FA0">
        <w:rPr>
          <w:rFonts w:ascii="Arial" w:hAnsi="Arial" w:cs="Arial"/>
          <w:sz w:val="24"/>
          <w:szCs w:val="24"/>
        </w:rPr>
        <w:t xml:space="preserve"> Kent State University.</w:t>
      </w:r>
    </w:p>
    <w:p w14:paraId="45040051" w14:textId="77777777" w:rsidR="00274FA0" w:rsidRDefault="00274FA0" w:rsidP="00274FA0">
      <w:pPr>
        <w:rPr>
          <w:rFonts w:ascii="Arial" w:hAnsi="Arial" w:cs="Arial"/>
          <w:sz w:val="24"/>
          <w:szCs w:val="24"/>
        </w:rPr>
      </w:pPr>
    </w:p>
    <w:p w14:paraId="458D08BB" w14:textId="77777777" w:rsidR="00274FA0" w:rsidRDefault="00274FA0" w:rsidP="00274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</w:t>
      </w:r>
    </w:p>
    <w:p w14:paraId="3A53E489" w14:textId="77777777" w:rsidR="00274FA0" w:rsidRDefault="00274FA0" w:rsidP="00274FA0">
      <w:pPr>
        <w:rPr>
          <w:rFonts w:ascii="Arial" w:hAnsi="Arial" w:cs="Arial"/>
          <w:sz w:val="24"/>
          <w:szCs w:val="24"/>
        </w:rPr>
      </w:pPr>
    </w:p>
    <w:p w14:paraId="3F733CF4" w14:textId="77777777" w:rsidR="00274FA0" w:rsidRDefault="00274FA0" w:rsidP="00274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42F626AC" w14:textId="77777777" w:rsidR="00274FA0" w:rsidRDefault="00274FA0" w:rsidP="00274FA0">
      <w:pPr>
        <w:rPr>
          <w:rFonts w:ascii="Arial" w:hAnsi="Arial" w:cs="Arial"/>
          <w:sz w:val="24"/>
          <w:szCs w:val="24"/>
        </w:rPr>
      </w:pPr>
    </w:p>
    <w:p w14:paraId="5819DB84" w14:textId="77777777" w:rsidR="00274FA0" w:rsidRPr="00FC02E9" w:rsidRDefault="00274FA0" w:rsidP="00274FA0">
      <w:pPr>
        <w:rPr>
          <w:rFonts w:ascii="Arial" w:hAnsi="Arial" w:cs="Arial"/>
          <w:b/>
          <w:bCs/>
          <w:sz w:val="24"/>
          <w:szCs w:val="24"/>
        </w:rPr>
      </w:pPr>
      <w:r w:rsidRPr="00FC02E9">
        <w:rPr>
          <w:rFonts w:ascii="Arial" w:hAnsi="Arial" w:cs="Arial"/>
          <w:b/>
          <w:bCs/>
          <w:sz w:val="24"/>
          <w:szCs w:val="24"/>
        </w:rPr>
        <w:t>Stephen G. Sokany</w:t>
      </w:r>
    </w:p>
    <w:p w14:paraId="799682FF" w14:textId="15054450" w:rsidR="00274FA0" w:rsidRPr="002866CF" w:rsidRDefault="00274FA0" w:rsidP="00274FA0">
      <w:pPr>
        <w:rPr>
          <w:rFonts w:ascii="Arial" w:hAnsi="Arial" w:cs="Arial"/>
          <w:i/>
          <w:iCs/>
          <w:sz w:val="24"/>
          <w:szCs w:val="24"/>
        </w:rPr>
      </w:pPr>
      <w:r w:rsidRPr="002866CF">
        <w:rPr>
          <w:rFonts w:ascii="Arial" w:hAnsi="Arial" w:cs="Arial"/>
          <w:i/>
          <w:iCs/>
          <w:sz w:val="24"/>
          <w:szCs w:val="24"/>
        </w:rPr>
        <w:t>Executive Director</w:t>
      </w:r>
      <w:r w:rsidR="002866CF" w:rsidRPr="002866CF">
        <w:rPr>
          <w:rFonts w:ascii="Arial" w:hAnsi="Arial" w:cs="Arial"/>
          <w:i/>
          <w:iCs/>
          <w:sz w:val="24"/>
          <w:szCs w:val="24"/>
        </w:rPr>
        <w:t xml:space="preserve">, </w:t>
      </w:r>
      <w:r w:rsidRPr="002866CF">
        <w:rPr>
          <w:rFonts w:ascii="Arial" w:hAnsi="Arial" w:cs="Arial"/>
          <w:i/>
          <w:iCs/>
          <w:sz w:val="24"/>
          <w:szCs w:val="24"/>
        </w:rPr>
        <w:t>Kent State University Foundation</w:t>
      </w:r>
    </w:p>
    <w:p w14:paraId="061A71A8" w14:textId="1C6F3C8D" w:rsidR="002866CF" w:rsidRDefault="002866CF" w:rsidP="00274FA0">
      <w:pPr>
        <w:rPr>
          <w:rFonts w:ascii="Arial" w:hAnsi="Arial" w:cs="Arial"/>
          <w:sz w:val="24"/>
          <w:szCs w:val="24"/>
        </w:rPr>
      </w:pPr>
      <w:r w:rsidRPr="002866CF">
        <w:rPr>
          <w:rFonts w:ascii="Arial" w:hAnsi="Arial" w:cs="Arial"/>
          <w:i/>
          <w:iCs/>
          <w:sz w:val="24"/>
          <w:szCs w:val="24"/>
        </w:rPr>
        <w:t>Vice President, Institutional Advancement</w:t>
      </w:r>
    </w:p>
    <w:p w14:paraId="1E2C678D" w14:textId="77777777" w:rsidR="00274FA0" w:rsidRDefault="00274FA0" w:rsidP="00274FA0">
      <w:pPr>
        <w:rPr>
          <w:rFonts w:asciiTheme="majorHAnsi" w:hAnsiTheme="majorHAnsi" w:cstheme="majorHAnsi"/>
          <w:sz w:val="24"/>
          <w:szCs w:val="24"/>
        </w:rPr>
      </w:pPr>
    </w:p>
    <w:p w14:paraId="288D49E4" w14:textId="77777777" w:rsidR="00274FA0" w:rsidRDefault="00274FA0" w:rsidP="00274FA0">
      <w:pPr>
        <w:rPr>
          <w:rFonts w:asciiTheme="majorHAnsi" w:hAnsiTheme="majorHAnsi" w:cstheme="majorHAnsi"/>
          <w:sz w:val="24"/>
          <w:szCs w:val="24"/>
        </w:rPr>
      </w:pPr>
    </w:p>
    <w:p w14:paraId="1920F66C" w14:textId="77777777" w:rsidR="003D657D" w:rsidRDefault="003D657D" w:rsidP="003D65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Kent State University Foundation Board of Directors</w:t>
      </w:r>
    </w:p>
    <w:p w14:paraId="209A438F" w14:textId="77777777" w:rsidR="003D657D" w:rsidRPr="00FC02E9" w:rsidRDefault="003D657D" w:rsidP="003D657D">
      <w:pPr>
        <w:rPr>
          <w:rFonts w:ascii="Arial" w:hAnsi="Arial" w:cs="Arial"/>
          <w:bCs/>
          <w:iCs/>
          <w:sz w:val="24"/>
          <w:szCs w:val="24"/>
        </w:rPr>
      </w:pPr>
      <w:r w:rsidRPr="00FC02E9">
        <w:rPr>
          <w:rFonts w:ascii="Arial" w:hAnsi="Arial" w:cs="Arial"/>
          <w:bCs/>
          <w:iCs/>
          <w:sz w:val="24"/>
          <w:szCs w:val="24"/>
        </w:rPr>
        <w:t>As of June 30, 2019</w:t>
      </w:r>
    </w:p>
    <w:p w14:paraId="591E92E0" w14:textId="77777777" w:rsidR="003D657D" w:rsidRDefault="003D657D" w:rsidP="003D657D"/>
    <w:p w14:paraId="04F5719F" w14:textId="77777777" w:rsidR="003D657D" w:rsidRDefault="003D657D" w:rsidP="003D657D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BOARD OFFICERS</w:t>
      </w:r>
    </w:p>
    <w:p w14:paraId="571496DC" w14:textId="77777777" w:rsidR="003D657D" w:rsidRDefault="003D657D" w:rsidP="003D657D">
      <w:pPr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Gary L. Brahler, ’89 </w:t>
      </w:r>
      <w:r>
        <w:rPr>
          <w:rFonts w:ascii="Arial" w:eastAsia="Times New Roman" w:hAnsi="Arial" w:cs="Arial"/>
          <w:sz w:val="24"/>
          <w:szCs w:val="24"/>
          <w:lang w:val="en"/>
        </w:rPr>
        <w:br/>
      </w:r>
      <w:r>
        <w:rPr>
          <w:rFonts w:ascii="Arial" w:eastAsia="Times New Roman" w:hAnsi="Arial" w:cs="Arial"/>
          <w:i/>
          <w:iCs/>
          <w:sz w:val="24"/>
          <w:szCs w:val="24"/>
          <w:lang w:val="en"/>
        </w:rPr>
        <w:t>Immediate Past Chair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First Vice President - Investments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Morgan Stanley</w:t>
      </w:r>
      <w:r>
        <w:rPr>
          <w:rFonts w:ascii="Arial" w:eastAsia="Times New Roman" w:hAnsi="Arial" w:cs="Arial"/>
          <w:sz w:val="24"/>
          <w:szCs w:val="24"/>
          <w:lang w:val="en"/>
        </w:rPr>
        <w:br/>
      </w:r>
    </w:p>
    <w:p w14:paraId="4BEC554E" w14:textId="44668E6B" w:rsidR="003D657D" w:rsidRDefault="003D657D" w:rsidP="003D657D">
      <w:pPr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John R. Elliot, ’70</w:t>
      </w:r>
      <w:r>
        <w:rPr>
          <w:rFonts w:ascii="Arial" w:eastAsia="Times New Roman" w:hAnsi="Arial" w:cs="Arial"/>
          <w:sz w:val="24"/>
          <w:szCs w:val="24"/>
          <w:lang w:val="en"/>
        </w:rPr>
        <w:br/>
      </w:r>
      <w:r>
        <w:rPr>
          <w:rFonts w:ascii="Arial" w:eastAsia="Times New Roman" w:hAnsi="Arial" w:cs="Arial"/>
          <w:i/>
          <w:iCs/>
          <w:sz w:val="24"/>
          <w:szCs w:val="24"/>
          <w:lang w:val="en"/>
        </w:rPr>
        <w:t>Chair-Elect and Chair, Committee on Governance</w:t>
      </w:r>
      <w:r>
        <w:rPr>
          <w:rFonts w:ascii="Arial" w:eastAsia="Times New Roman" w:hAnsi="Arial" w:cs="Arial"/>
          <w:sz w:val="24"/>
          <w:szCs w:val="24"/>
          <w:lang w:val="en"/>
        </w:rPr>
        <w:br/>
      </w:r>
      <w:r>
        <w:rPr>
          <w:rFonts w:ascii="Arial" w:eastAsia="Times New Roman" w:hAnsi="Arial" w:cs="Arial"/>
          <w:sz w:val="24"/>
          <w:szCs w:val="24"/>
          <w:lang w:val="en"/>
        </w:rPr>
        <w:lastRenderedPageBreak/>
        <w:t>Owner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AMFM, LLC</w:t>
      </w:r>
    </w:p>
    <w:p w14:paraId="449173F1" w14:textId="1B1AB4F7" w:rsidR="003D657D" w:rsidRDefault="003D657D" w:rsidP="003D657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Nora Conway Jacobs, ’73</w:t>
      </w:r>
      <w:r>
        <w:rPr>
          <w:rFonts w:ascii="Arial" w:eastAsia="Times New Roman" w:hAnsi="Arial" w:cs="Arial"/>
          <w:sz w:val="24"/>
          <w:szCs w:val="24"/>
          <w:lang w:val="en"/>
        </w:rPr>
        <w:br/>
      </w:r>
      <w:r>
        <w:rPr>
          <w:rFonts w:ascii="Arial" w:eastAsia="Times New Roman" w:hAnsi="Arial" w:cs="Arial"/>
          <w:i/>
          <w:iCs/>
          <w:sz w:val="24"/>
          <w:szCs w:val="24"/>
          <w:lang w:val="en"/>
        </w:rPr>
        <w:t>Chair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Senior Vice President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Hennes Communications</w:t>
      </w:r>
    </w:p>
    <w:p w14:paraId="1B19BFE4" w14:textId="29CD3F0C" w:rsidR="003D657D" w:rsidRDefault="003D657D" w:rsidP="003D657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Gregory A. Long, ’71</w:t>
      </w:r>
      <w:r>
        <w:rPr>
          <w:rFonts w:ascii="Arial" w:eastAsia="Times New Roman" w:hAnsi="Arial" w:cs="Arial"/>
          <w:sz w:val="24"/>
          <w:szCs w:val="24"/>
          <w:lang w:val="en"/>
        </w:rPr>
        <w:br/>
      </w:r>
      <w:r>
        <w:rPr>
          <w:rFonts w:ascii="Arial" w:eastAsia="Times New Roman" w:hAnsi="Arial" w:cs="Arial"/>
          <w:i/>
          <w:iCs/>
          <w:sz w:val="24"/>
          <w:szCs w:val="24"/>
          <w:lang w:val="en"/>
        </w:rPr>
        <w:t>Treasurer and Chair, Committee on Finance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President and Managing Partner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Long, Cook &amp; Samsa, Inc.</w:t>
      </w:r>
    </w:p>
    <w:p w14:paraId="45E3516A" w14:textId="72B4E93D" w:rsidR="003D657D" w:rsidRDefault="003D657D" w:rsidP="003D657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Stephen G. Sokany, MBA, ’96</w:t>
      </w:r>
      <w:r>
        <w:rPr>
          <w:rFonts w:ascii="Arial" w:eastAsia="Times New Roman" w:hAnsi="Arial" w:cs="Arial"/>
          <w:sz w:val="24"/>
          <w:szCs w:val="24"/>
          <w:lang w:val="en"/>
        </w:rPr>
        <w:br/>
      </w:r>
      <w:r>
        <w:rPr>
          <w:rFonts w:ascii="Arial" w:eastAsia="Times New Roman" w:hAnsi="Arial" w:cs="Arial"/>
          <w:i/>
          <w:sz w:val="24"/>
          <w:szCs w:val="24"/>
          <w:lang w:val="en"/>
        </w:rPr>
        <w:t>Executive Director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Vice President, Institutional Advancement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Kent State University</w:t>
      </w:r>
    </w:p>
    <w:p w14:paraId="3CB72334" w14:textId="2E21397D" w:rsidR="003D657D" w:rsidRDefault="003D657D" w:rsidP="003D657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Michelle D. Thomas, Ph.D., ’05</w:t>
      </w:r>
      <w:r>
        <w:rPr>
          <w:rFonts w:ascii="Arial" w:eastAsia="Times New Roman" w:hAnsi="Arial" w:cs="Arial"/>
          <w:sz w:val="24"/>
          <w:szCs w:val="24"/>
          <w:lang w:val="en"/>
        </w:rPr>
        <w:br/>
      </w:r>
      <w:r>
        <w:rPr>
          <w:rFonts w:ascii="Arial" w:eastAsia="Times New Roman" w:hAnsi="Arial" w:cs="Arial"/>
          <w:i/>
          <w:iCs/>
          <w:sz w:val="24"/>
          <w:szCs w:val="24"/>
          <w:lang w:val="en"/>
        </w:rPr>
        <w:t>Secretary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President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The James Franklin Group, LLC</w:t>
      </w:r>
    </w:p>
    <w:p w14:paraId="739AE33F" w14:textId="68EFCC6A" w:rsidR="003D657D" w:rsidRPr="003D657D" w:rsidRDefault="003D657D" w:rsidP="003D657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Jessica H. Vargo, CPA, ’89</w:t>
      </w:r>
      <w:r>
        <w:rPr>
          <w:rFonts w:ascii="Arial" w:eastAsia="Times New Roman" w:hAnsi="Arial" w:cs="Arial"/>
          <w:sz w:val="24"/>
          <w:szCs w:val="24"/>
          <w:lang w:val="en"/>
        </w:rPr>
        <w:br/>
      </w:r>
      <w:r>
        <w:rPr>
          <w:rFonts w:ascii="Arial" w:eastAsia="Times New Roman" w:hAnsi="Arial" w:cs="Arial"/>
          <w:i/>
          <w:iCs/>
          <w:sz w:val="24"/>
          <w:szCs w:val="24"/>
          <w:lang w:val="en"/>
        </w:rPr>
        <w:t>Assistant Treasurer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Chief Financial Officer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Kent State University Foundatio</w:t>
      </w:r>
    </w:p>
    <w:p w14:paraId="180CE9D1" w14:textId="6299FCED" w:rsidR="003D657D" w:rsidRDefault="003D657D" w:rsidP="003D657D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BOARD OF DIRECTORS</w:t>
      </w:r>
    </w:p>
    <w:p w14:paraId="4272A934" w14:textId="5EFE8A55" w:rsidR="003D657D" w:rsidRDefault="003D657D" w:rsidP="003D657D">
      <w:pPr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Raj Aggarwal, ’70, ’75</w:t>
      </w:r>
    </w:p>
    <w:p w14:paraId="43D20529" w14:textId="77777777" w:rsidR="003D657D" w:rsidRDefault="003D657D" w:rsidP="003D657D">
      <w:pPr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Visiting Research Scholar, Federal Reserve Bank of Cleveland (retired)</w:t>
      </w:r>
    </w:p>
    <w:p w14:paraId="6B1CC47E" w14:textId="77777777" w:rsidR="003D657D" w:rsidRDefault="003D657D" w:rsidP="003D657D">
      <w:pPr>
        <w:rPr>
          <w:rFonts w:ascii="Arial" w:eastAsia="Times New Roman" w:hAnsi="Arial" w:cs="Arial"/>
          <w:sz w:val="24"/>
          <w:szCs w:val="24"/>
          <w:lang w:val="en"/>
        </w:rPr>
      </w:pPr>
    </w:p>
    <w:p w14:paraId="49AB045E" w14:textId="1DB71193" w:rsidR="003D657D" w:rsidRDefault="003D657D" w:rsidP="003D657D">
      <w:pPr>
        <w:rPr>
          <w:rFonts w:ascii="Arial" w:eastAsia="Times New Roman" w:hAnsi="Arial" w:cs="Arial"/>
          <w:i/>
          <w:iCs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Lawrence R. Armstrong, ’79, ’80</w:t>
      </w:r>
      <w:r>
        <w:rPr>
          <w:rFonts w:ascii="Arial" w:eastAsia="Times New Roman" w:hAnsi="Arial" w:cs="Arial"/>
          <w:sz w:val="24"/>
          <w:szCs w:val="24"/>
          <w:lang w:val="en"/>
        </w:rPr>
        <w:br/>
      </w:r>
      <w:r>
        <w:rPr>
          <w:rFonts w:ascii="Arial" w:eastAsia="Times New Roman" w:hAnsi="Arial" w:cs="Arial"/>
          <w:i/>
          <w:iCs/>
          <w:sz w:val="24"/>
          <w:szCs w:val="24"/>
          <w:lang w:val="en"/>
        </w:rPr>
        <w:t>Co-Chair for the Campaign</w:t>
      </w:r>
    </w:p>
    <w:p w14:paraId="40D367E2" w14:textId="77777777" w:rsidR="003D657D" w:rsidRDefault="003D657D" w:rsidP="003D657D">
      <w:pPr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CEO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Ware Malcomb</w:t>
      </w:r>
    </w:p>
    <w:p w14:paraId="09452BDC" w14:textId="10DD496E" w:rsidR="003D657D" w:rsidRDefault="003D657D" w:rsidP="003D657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James M. Bailey, ’03, ’04</w:t>
      </w:r>
      <w:r>
        <w:rPr>
          <w:rFonts w:ascii="Arial" w:eastAsia="Times New Roman" w:hAnsi="Arial" w:cs="Arial"/>
          <w:sz w:val="24"/>
          <w:szCs w:val="24"/>
          <w:lang w:val="en"/>
        </w:rPr>
        <w:br/>
      </w:r>
      <w:r>
        <w:rPr>
          <w:rFonts w:ascii="Arial" w:eastAsia="Times New Roman" w:hAnsi="Arial" w:cs="Arial"/>
          <w:i/>
          <w:iCs/>
          <w:sz w:val="24"/>
          <w:szCs w:val="24"/>
          <w:lang w:val="en"/>
        </w:rPr>
        <w:t>Alumni Representative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 xml:space="preserve">Vice President, Senior Institutional Client Advisor 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PNC Capital Advisors LLC</w:t>
      </w:r>
    </w:p>
    <w:p w14:paraId="3DB059D5" w14:textId="60D8B5E1" w:rsidR="003D657D" w:rsidRDefault="003D657D" w:rsidP="003D657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Harvey J. Bazaar, ’62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Caldwell, New Jersey</w:t>
      </w:r>
    </w:p>
    <w:p w14:paraId="31732216" w14:textId="79745140" w:rsidR="003D657D" w:rsidRDefault="003D657D" w:rsidP="003D657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lastRenderedPageBreak/>
        <w:t>Heather Cerbone, ’90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Senior VP Product Design and Development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Ralph Lauren Corporation</w:t>
      </w:r>
    </w:p>
    <w:p w14:paraId="28EF7A70" w14:textId="774DEE5A" w:rsidR="003D657D" w:rsidRDefault="003D657D" w:rsidP="003D657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Edmund D. Cooke Jr., ’65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Partner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Law Offices of Cooke Robotham LLC </w:t>
      </w:r>
    </w:p>
    <w:p w14:paraId="0638E95E" w14:textId="267B9191" w:rsidR="003D657D" w:rsidRDefault="003D657D" w:rsidP="003D657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Robert J. DiDiano, ’87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Regional Managing Director – New York City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Wells Fargo Private Bank</w:t>
      </w:r>
    </w:p>
    <w:p w14:paraId="505D63FC" w14:textId="34BDC489" w:rsidR="003D657D" w:rsidRDefault="003D657D" w:rsidP="003D657D">
      <w:pPr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Timothy D. Eippert, ’92</w:t>
      </w:r>
    </w:p>
    <w:p w14:paraId="29D1942A" w14:textId="77777777" w:rsidR="003D657D" w:rsidRDefault="003D657D" w:rsidP="003D657D">
      <w:pPr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i/>
          <w:iCs/>
          <w:sz w:val="24"/>
          <w:szCs w:val="24"/>
          <w:lang w:val="en"/>
        </w:rPr>
        <w:t>Chair, Membership Subcommittee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President/CEO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MC Sign Company </w:t>
      </w:r>
    </w:p>
    <w:p w14:paraId="682DCC06" w14:textId="718CD45D" w:rsidR="003D657D" w:rsidRDefault="003D657D" w:rsidP="003D657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Barry E. Fetterman, ’74, ’76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Principal/Portfolio Manager (retired)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Sirach Capital Management Inc.</w:t>
      </w:r>
    </w:p>
    <w:p w14:paraId="3FF8E7EF" w14:textId="77777777" w:rsidR="003D657D" w:rsidRDefault="003D657D" w:rsidP="003D657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Richard J. Frenchie, MBA, LFACHE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President, The Frenchie Group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Affiliated Partner Leadership Excellence Health Care Advisory Network</w:t>
      </w:r>
    </w:p>
    <w:p w14:paraId="4AE688ED" w14:textId="3CEB60EB" w:rsidR="003D657D" w:rsidRDefault="003D657D" w:rsidP="003D657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Catherine E. Hackney, ’74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Associate Dean, Administrative Affairs &amp; Graduate Education (retired)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KSU College of Education, Health and Human Services</w:t>
      </w:r>
    </w:p>
    <w:p w14:paraId="091FC26B" w14:textId="5A82C1FC" w:rsidR="003D657D" w:rsidRDefault="003D657D" w:rsidP="003D657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Cathy D. Hemming, ’70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Founder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Cathy D. Hemming Literary Agency LLC </w:t>
      </w:r>
    </w:p>
    <w:p w14:paraId="22723FF1" w14:textId="18A8517E" w:rsidR="003D657D" w:rsidRDefault="003D657D" w:rsidP="003D657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Peter M. Holway, ’82</w:t>
      </w:r>
      <w:r>
        <w:rPr>
          <w:rFonts w:ascii="Arial" w:eastAsia="Times New Roman" w:hAnsi="Arial" w:cs="Arial"/>
          <w:sz w:val="24"/>
          <w:szCs w:val="24"/>
          <w:lang w:val="en"/>
        </w:rPr>
        <w:br/>
      </w:r>
      <w:r>
        <w:rPr>
          <w:rFonts w:ascii="Arial" w:eastAsia="Times New Roman" w:hAnsi="Arial" w:cs="Arial"/>
          <w:i/>
          <w:iCs/>
          <w:sz w:val="24"/>
          <w:szCs w:val="24"/>
          <w:lang w:val="en"/>
        </w:rPr>
        <w:t>Chair, Committee on Investments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Principal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Hirtle, Callaghan &amp; Company </w:t>
      </w:r>
    </w:p>
    <w:p w14:paraId="140BB574" w14:textId="7CD5ADC2" w:rsidR="003D657D" w:rsidRDefault="003D657D" w:rsidP="003D657D">
      <w:pPr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Candice A. Hughes, Ph.D., ’70, ’72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Associate Professor, Dept. of School Psychology</w:t>
      </w:r>
    </w:p>
    <w:p w14:paraId="203CDFC3" w14:textId="77777777" w:rsidR="003D657D" w:rsidRDefault="003D657D" w:rsidP="003D657D">
      <w:pPr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Adjunct Faculty, International Psychology Department</w:t>
      </w:r>
    </w:p>
    <w:p w14:paraId="5A60ED4B" w14:textId="77777777" w:rsidR="003D657D" w:rsidRDefault="003D657D" w:rsidP="003D657D">
      <w:pPr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The Chicago School of Professional Psychology</w:t>
      </w:r>
    </w:p>
    <w:p w14:paraId="537C2B97" w14:textId="77777777" w:rsidR="003D657D" w:rsidRDefault="003D657D" w:rsidP="003D657D">
      <w:pPr>
        <w:rPr>
          <w:rFonts w:ascii="Arial" w:eastAsia="Times New Roman" w:hAnsi="Arial" w:cs="Arial"/>
          <w:sz w:val="24"/>
          <w:szCs w:val="24"/>
          <w:lang w:val="en"/>
        </w:rPr>
      </w:pPr>
    </w:p>
    <w:p w14:paraId="5DA1156C" w14:textId="111A72A2" w:rsidR="003D657D" w:rsidRDefault="003D657D" w:rsidP="003D657D">
      <w:pPr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Richard Krumel, ’71</w:t>
      </w:r>
    </w:p>
    <w:p w14:paraId="07BFBAB6" w14:textId="77777777" w:rsidR="003D657D" w:rsidRDefault="003D657D" w:rsidP="003D657D">
      <w:pPr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Executive Recruiter (retired)</w:t>
      </w:r>
    </w:p>
    <w:p w14:paraId="616A8FDD" w14:textId="75472B0F" w:rsidR="003D657D" w:rsidRDefault="003D657D" w:rsidP="003D657D">
      <w:pPr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lastRenderedPageBreak/>
        <w:br/>
      </w: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Steffany Matticola Larkins, ’92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Executive Vice President and Chief Revenue Officer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Medical Mutual </w:t>
      </w:r>
    </w:p>
    <w:p w14:paraId="501DF085" w14:textId="63E0CA12" w:rsidR="003D657D" w:rsidRDefault="003D657D" w:rsidP="003D657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Judie Fall Lasser, ’00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Hudson, Ohio</w:t>
      </w:r>
    </w:p>
    <w:p w14:paraId="27A0F2FD" w14:textId="58574C4F" w:rsidR="003D657D" w:rsidRDefault="003D657D" w:rsidP="003D657D">
      <w:pPr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Dale Leppo, ’74</w:t>
      </w:r>
    </w:p>
    <w:p w14:paraId="64969120" w14:textId="77777777" w:rsidR="003D657D" w:rsidRDefault="003D657D" w:rsidP="003D657D">
      <w:pPr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Chairman of the Board</w:t>
      </w:r>
    </w:p>
    <w:p w14:paraId="7F4A61D2" w14:textId="77777777" w:rsidR="003D657D" w:rsidRDefault="003D657D" w:rsidP="003D657D">
      <w:pPr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Leppo Group</w:t>
      </w:r>
    </w:p>
    <w:p w14:paraId="6397B663" w14:textId="77777777" w:rsidR="003D657D" w:rsidRDefault="003D657D" w:rsidP="003D657D">
      <w:pPr>
        <w:rPr>
          <w:rFonts w:ascii="Arial" w:eastAsia="Times New Roman" w:hAnsi="Arial" w:cs="Arial"/>
          <w:sz w:val="24"/>
          <w:szCs w:val="24"/>
          <w:lang w:val="en"/>
        </w:rPr>
      </w:pPr>
    </w:p>
    <w:p w14:paraId="4E3CF2F8" w14:textId="244154E1" w:rsidR="003D657D" w:rsidRDefault="003D657D" w:rsidP="003D657D">
      <w:pPr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Mark Lucas, ’83</w:t>
      </w:r>
    </w:p>
    <w:p w14:paraId="1341E95D" w14:textId="77777777" w:rsidR="003D657D" w:rsidRDefault="003D657D" w:rsidP="003D657D">
      <w:pPr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Lean Manufacturing Manager</w:t>
      </w:r>
    </w:p>
    <w:p w14:paraId="62A26362" w14:textId="77777777" w:rsidR="003D657D" w:rsidRDefault="003D657D" w:rsidP="003D657D">
      <w:pPr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General Motors</w:t>
      </w:r>
    </w:p>
    <w:p w14:paraId="0ACB9533" w14:textId="77777777" w:rsidR="003D657D" w:rsidRDefault="003D657D" w:rsidP="003D657D">
      <w:pPr>
        <w:rPr>
          <w:rFonts w:ascii="Arial" w:eastAsia="Times New Roman" w:hAnsi="Arial" w:cs="Arial"/>
          <w:sz w:val="24"/>
          <w:szCs w:val="24"/>
          <w:lang w:val="en"/>
        </w:rPr>
      </w:pPr>
    </w:p>
    <w:p w14:paraId="3F277CE6" w14:textId="472EB379" w:rsidR="003D657D" w:rsidRDefault="003D657D" w:rsidP="003D657D">
      <w:pPr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Margaret E. May, ’96, ’06</w:t>
      </w:r>
      <w:r>
        <w:rPr>
          <w:rFonts w:ascii="Arial" w:eastAsia="Times New Roman" w:hAnsi="Arial" w:cs="Arial"/>
          <w:sz w:val="24"/>
          <w:szCs w:val="24"/>
          <w:lang w:val="en"/>
        </w:rPr>
        <w:br/>
      </w:r>
      <w:r>
        <w:rPr>
          <w:rFonts w:ascii="Arial" w:eastAsia="Times New Roman" w:hAnsi="Arial" w:cs="Arial"/>
          <w:i/>
          <w:iCs/>
          <w:sz w:val="24"/>
          <w:szCs w:val="24"/>
          <w:lang w:val="en"/>
        </w:rPr>
        <w:t>Alumni Representative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Manager of Agent Evaluation and Education</w:t>
      </w:r>
    </w:p>
    <w:p w14:paraId="68EF664F" w14:textId="77777777" w:rsidR="003D657D" w:rsidRDefault="003D657D" w:rsidP="003D657D">
      <w:pPr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Progressive Commercial Lines</w:t>
      </w:r>
    </w:p>
    <w:p w14:paraId="31302CA6" w14:textId="77777777" w:rsidR="001544AB" w:rsidRDefault="001544AB" w:rsidP="001544AB">
      <w:pPr>
        <w:rPr>
          <w:rFonts w:ascii="Arial" w:eastAsia="Times New Roman" w:hAnsi="Arial" w:cs="Arial"/>
          <w:b/>
          <w:bCs/>
          <w:sz w:val="24"/>
          <w:szCs w:val="24"/>
          <w:lang w:val="en"/>
        </w:rPr>
      </w:pPr>
    </w:p>
    <w:p w14:paraId="06374E12" w14:textId="109B4EF1" w:rsidR="003D657D" w:rsidRPr="003D657D" w:rsidRDefault="003D657D" w:rsidP="001544AB">
      <w:pPr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Stephen M. Milkovich, ’93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Co-owner and VP of Operations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Construction Mechanics Inc.</w:t>
      </w:r>
    </w:p>
    <w:p w14:paraId="0DC54B43" w14:textId="77777777" w:rsidR="001544AB" w:rsidRDefault="001544AB" w:rsidP="001544AB">
      <w:pPr>
        <w:rPr>
          <w:rFonts w:ascii="Arial" w:eastAsia="Times New Roman" w:hAnsi="Arial" w:cs="Arial"/>
          <w:b/>
          <w:bCs/>
          <w:sz w:val="24"/>
          <w:szCs w:val="24"/>
          <w:lang w:val="en"/>
        </w:rPr>
      </w:pPr>
    </w:p>
    <w:p w14:paraId="488AD1B1" w14:textId="77777777" w:rsidR="001544AB" w:rsidRDefault="003D657D" w:rsidP="001544AB">
      <w:pPr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Stuart Neidus, ’73</w:t>
      </w:r>
    </w:p>
    <w:p w14:paraId="0DF6722D" w14:textId="11E991CB" w:rsidR="001544AB" w:rsidRPr="001544AB" w:rsidRDefault="001544AB" w:rsidP="001544AB">
      <w:pPr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 w:rsidRPr="001544AB">
        <w:rPr>
          <w:rFonts w:ascii="Arial" w:eastAsia="Times New Roman" w:hAnsi="Arial" w:cs="Arial"/>
          <w:sz w:val="24"/>
          <w:szCs w:val="24"/>
          <w:lang w:val="en"/>
        </w:rPr>
        <w:t>Gates Mills, Ohio</w:t>
      </w:r>
    </w:p>
    <w:p w14:paraId="416D1C75" w14:textId="77777777" w:rsidR="001544AB" w:rsidRDefault="001544AB" w:rsidP="001544AB">
      <w:pPr>
        <w:rPr>
          <w:rFonts w:ascii="Arial" w:eastAsia="Times New Roman" w:hAnsi="Arial" w:cs="Arial"/>
          <w:b/>
          <w:bCs/>
          <w:sz w:val="24"/>
          <w:szCs w:val="24"/>
          <w:lang w:val="en"/>
        </w:rPr>
      </w:pPr>
    </w:p>
    <w:p w14:paraId="1F33897E" w14:textId="64E507E7" w:rsidR="003D657D" w:rsidRDefault="003D657D" w:rsidP="001544AB">
      <w:pPr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Robert G. Risman</w:t>
      </w:r>
      <w:r>
        <w:rPr>
          <w:rFonts w:ascii="Arial" w:eastAsia="Times New Roman" w:hAnsi="Arial" w:cs="Arial"/>
          <w:sz w:val="24"/>
          <w:szCs w:val="24"/>
          <w:lang w:val="en"/>
        </w:rPr>
        <w:br/>
      </w:r>
      <w:r>
        <w:rPr>
          <w:rFonts w:ascii="Arial" w:eastAsia="Times New Roman" w:hAnsi="Arial" w:cs="Arial"/>
          <w:i/>
          <w:iCs/>
          <w:sz w:val="24"/>
          <w:szCs w:val="24"/>
          <w:lang w:val="en"/>
        </w:rPr>
        <w:t>Chair, Subcommittee for the KSU Hotel &amp; Conference Center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President and CEO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Burton Carol Management LLC</w:t>
      </w:r>
    </w:p>
    <w:p w14:paraId="172E638B" w14:textId="2E8C749C" w:rsidR="003D657D" w:rsidRDefault="003D657D" w:rsidP="003D657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Robert E. Ross, ’70</w:t>
      </w:r>
      <w:r>
        <w:rPr>
          <w:rFonts w:ascii="Arial" w:eastAsia="Times New Roman" w:hAnsi="Arial" w:cs="Arial"/>
          <w:sz w:val="24"/>
          <w:szCs w:val="24"/>
          <w:lang w:val="en"/>
        </w:rPr>
        <w:br/>
      </w:r>
      <w:r>
        <w:rPr>
          <w:rFonts w:ascii="Arial" w:eastAsia="Times New Roman" w:hAnsi="Arial" w:cs="Arial"/>
          <w:i/>
          <w:iCs/>
          <w:sz w:val="24"/>
          <w:szCs w:val="24"/>
          <w:lang w:val="en"/>
        </w:rPr>
        <w:t>Chair, Committee on Institutional Advancement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Director, Private Asset Management (retired)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Robert W. Baird &amp; Co.</w:t>
      </w:r>
    </w:p>
    <w:p w14:paraId="69AD8AE2" w14:textId="77777777" w:rsidR="003D657D" w:rsidRDefault="003D657D" w:rsidP="003D657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Richard D. Selip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President (retired)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Grand River Rubber &amp; Plastics Co.</w:t>
      </w:r>
    </w:p>
    <w:p w14:paraId="41B5F391" w14:textId="1F1BD86E" w:rsidR="003D657D" w:rsidRDefault="003D657D" w:rsidP="003D657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David J. Sibits, ’72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Senior Vice President, Strategic Development (retired)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CBIZ, Inc.</w:t>
      </w:r>
    </w:p>
    <w:p w14:paraId="7C4DD7FD" w14:textId="7210EB4A" w:rsidR="003D657D" w:rsidRDefault="003D657D" w:rsidP="003D657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lastRenderedPageBreak/>
        <w:t>Michael D. Solomon, ’74</w:t>
      </w:r>
      <w:r>
        <w:rPr>
          <w:rFonts w:ascii="Arial" w:eastAsia="Times New Roman" w:hAnsi="Arial" w:cs="Arial"/>
          <w:sz w:val="24"/>
          <w:szCs w:val="24"/>
          <w:lang w:val="en"/>
        </w:rPr>
        <w:br/>
      </w:r>
      <w:r>
        <w:rPr>
          <w:rFonts w:ascii="Arial" w:eastAsia="Times New Roman" w:hAnsi="Arial" w:cs="Arial"/>
          <w:i/>
          <w:iCs/>
          <w:sz w:val="24"/>
          <w:szCs w:val="24"/>
          <w:lang w:val="en"/>
        </w:rPr>
        <w:t>Board of Trustees Representative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Owner/CEO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XYZ Color Science, Inc.</w:t>
      </w:r>
    </w:p>
    <w:p w14:paraId="51640EB4" w14:textId="669AABFA" w:rsidR="003D657D" w:rsidRDefault="003D657D" w:rsidP="003D657D">
      <w:pPr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Buzz Starner, ’67</w:t>
      </w:r>
    </w:p>
    <w:p w14:paraId="0694EABB" w14:textId="77777777" w:rsidR="003D657D" w:rsidRDefault="003D657D" w:rsidP="003D657D">
      <w:pPr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i/>
          <w:iCs/>
          <w:sz w:val="24"/>
          <w:szCs w:val="24"/>
          <w:lang w:val="en"/>
        </w:rPr>
        <w:t>Chair, Committee on Grants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President and Owner (retired)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Starner Sales &amp; Marketing</w:t>
      </w:r>
    </w:p>
    <w:p w14:paraId="19FDCB86" w14:textId="77777777" w:rsidR="003D657D" w:rsidRDefault="003D657D" w:rsidP="003D657D">
      <w:pPr>
        <w:rPr>
          <w:rFonts w:ascii="Arial" w:eastAsia="Times New Roman" w:hAnsi="Arial" w:cs="Arial"/>
          <w:sz w:val="24"/>
          <w:szCs w:val="24"/>
          <w:lang w:val="en"/>
        </w:rPr>
      </w:pPr>
    </w:p>
    <w:p w14:paraId="0541E25D" w14:textId="77777777" w:rsidR="00DA05D1" w:rsidRPr="00DA05D1" w:rsidRDefault="003D657D" w:rsidP="00DA05D1">
      <w:pPr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Diana P. Strongosky, ’88</w:t>
      </w:r>
      <w:r>
        <w:rPr>
          <w:rFonts w:ascii="Arial" w:eastAsia="Times New Roman" w:hAnsi="Arial" w:cs="Arial"/>
          <w:sz w:val="24"/>
          <w:szCs w:val="24"/>
          <w:lang w:val="en"/>
        </w:rPr>
        <w:br/>
      </w:r>
      <w:r w:rsidR="00DA05D1" w:rsidRPr="00DA05D1">
        <w:rPr>
          <w:rFonts w:ascii="Arial" w:eastAsia="Times New Roman" w:hAnsi="Arial" w:cs="Arial"/>
          <w:sz w:val="24"/>
          <w:szCs w:val="24"/>
          <w:lang w:val="en"/>
        </w:rPr>
        <w:t>Senior VP, Group Strategy and Supply Chain Execution</w:t>
      </w:r>
    </w:p>
    <w:p w14:paraId="23948110" w14:textId="77777777" w:rsidR="00DA05D1" w:rsidRDefault="00DA05D1" w:rsidP="00DA05D1">
      <w:pPr>
        <w:rPr>
          <w:rFonts w:ascii="Arial" w:eastAsia="Times New Roman" w:hAnsi="Arial" w:cs="Arial"/>
          <w:sz w:val="24"/>
          <w:szCs w:val="24"/>
          <w:lang w:val="en"/>
        </w:rPr>
      </w:pPr>
      <w:r w:rsidRPr="00DA05D1">
        <w:rPr>
          <w:rFonts w:ascii="Arial" w:eastAsia="Times New Roman" w:hAnsi="Arial" w:cs="Arial"/>
          <w:sz w:val="24"/>
          <w:szCs w:val="24"/>
          <w:lang w:val="en"/>
        </w:rPr>
        <w:t>Sherwin-Williams Company</w:t>
      </w:r>
    </w:p>
    <w:p w14:paraId="027E9FC3" w14:textId="77777777" w:rsidR="00DA05D1" w:rsidRDefault="00DA05D1" w:rsidP="00DA05D1">
      <w:pPr>
        <w:rPr>
          <w:rFonts w:ascii="Arial" w:eastAsia="Times New Roman" w:hAnsi="Arial" w:cs="Arial"/>
          <w:sz w:val="24"/>
          <w:szCs w:val="24"/>
          <w:lang w:val="en"/>
        </w:rPr>
      </w:pPr>
    </w:p>
    <w:p w14:paraId="3B2E483F" w14:textId="13280CC5" w:rsidR="003D657D" w:rsidRDefault="003D657D" w:rsidP="00DA05D1">
      <w:pPr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Daniel A. Wolfe, ’82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AVP and Aviation General Manager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Nationwide Aviation Business Center</w:t>
      </w:r>
    </w:p>
    <w:p w14:paraId="79966EC0" w14:textId="77777777" w:rsidR="003D657D" w:rsidRDefault="00EA4301" w:rsidP="003D657D">
      <w:pPr>
        <w:jc w:val="center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pict w14:anchorId="6895ACD6">
          <v:rect id="_x0000_i1025" style="width:468pt;height:.5pt" o:hralign="center" o:hrstd="t" o:hr="t" fillcolor="#a0a0a0" stroked="f"/>
        </w:pict>
      </w:r>
    </w:p>
    <w:p w14:paraId="1B23C219" w14:textId="77777777" w:rsidR="003D657D" w:rsidRDefault="003D657D" w:rsidP="003D657D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UNIVERSITY REPRESENTATIVES</w:t>
      </w:r>
    </w:p>
    <w:p w14:paraId="45DA06C8" w14:textId="77777777" w:rsidR="003D657D" w:rsidRDefault="003D657D" w:rsidP="003D657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Dr. Beverly J. Warren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President</w:t>
      </w:r>
    </w:p>
    <w:p w14:paraId="58430E5B" w14:textId="77777777" w:rsidR="003D657D" w:rsidRDefault="003D657D" w:rsidP="003D657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Dr. Todd A. Diacon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Executive Vice President for Academic Affairs and Provost</w:t>
      </w:r>
    </w:p>
    <w:p w14:paraId="1F8AA1E3" w14:textId="77777777" w:rsidR="003D657D" w:rsidRDefault="003D657D" w:rsidP="003D657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Dr. Mark M. Polatajko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Senior Vice President for Finance and Administration</w:t>
      </w:r>
    </w:p>
    <w:p w14:paraId="2471395D" w14:textId="187A9801" w:rsidR="003D657D" w:rsidRDefault="003D657D" w:rsidP="003D657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Lori A. Randorf, ’99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Assistant Vice President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Alumni Relations</w:t>
      </w:r>
    </w:p>
    <w:p w14:paraId="26B26B98" w14:textId="77777777" w:rsidR="003D657D" w:rsidRDefault="003D657D" w:rsidP="003D657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Dr. Amy Reynolds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Dean, College of Communication and Information</w:t>
      </w:r>
    </w:p>
    <w:p w14:paraId="25D672A6" w14:textId="77777777" w:rsidR="003D657D" w:rsidRDefault="00EA4301" w:rsidP="003D657D">
      <w:pPr>
        <w:jc w:val="center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pict w14:anchorId="511476DE">
          <v:rect id="_x0000_i1026" style="width:468pt;height:.5pt" o:hralign="center" o:hrstd="t" o:hr="t" fillcolor="#a0a0a0" stroked="f"/>
        </w:pict>
      </w:r>
    </w:p>
    <w:p w14:paraId="2EF90846" w14:textId="77777777" w:rsidR="003D657D" w:rsidRDefault="003D657D" w:rsidP="003D657D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EMERITI REPRESENTATIVES</w:t>
      </w:r>
    </w:p>
    <w:p w14:paraId="22BF2139" w14:textId="0CEAC746" w:rsidR="003D657D" w:rsidRDefault="003D657D" w:rsidP="003D657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Roger K. Derr, ’58, ’63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Executive Vice President and COO (retired)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Ametek Inc.</w:t>
      </w:r>
    </w:p>
    <w:p w14:paraId="196A5F9A" w14:textId="58280BFE" w:rsidR="003D657D" w:rsidRDefault="003D657D" w:rsidP="003D657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lastRenderedPageBreak/>
        <w:t>Cecile M. Draime, ’58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Owner (retired)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CD Interiors Unlimited</w:t>
      </w:r>
    </w:p>
    <w:p w14:paraId="20E24CE5" w14:textId="0334AF39" w:rsidR="003D657D" w:rsidRDefault="003D657D" w:rsidP="003D657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Linda Allard, ’62, ’91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Design Director (retired)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Ellen Tracy</w:t>
      </w:r>
    </w:p>
    <w:p w14:paraId="24ACBEA4" w14:textId="544F4D98" w:rsidR="003D657D" w:rsidRDefault="003D657D" w:rsidP="003D657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Roe Green, ’80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Theatrical Stage Director (retired)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Self-employed</w:t>
      </w:r>
    </w:p>
    <w:p w14:paraId="121A5E11" w14:textId="7558BCB5" w:rsidR="003D657D" w:rsidRDefault="003D657D" w:rsidP="003D657D">
      <w:pPr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Mel Mellis, ’68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President (retired)</w:t>
      </w:r>
    </w:p>
    <w:p w14:paraId="18976667" w14:textId="77777777" w:rsidR="003D657D" w:rsidRDefault="003D657D" w:rsidP="003D657D">
      <w:pPr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Bartlett &amp; Co., Real Estate Group</w:t>
      </w:r>
    </w:p>
    <w:p w14:paraId="0340480D" w14:textId="57520DA7" w:rsidR="003D657D" w:rsidRDefault="003D657D" w:rsidP="003D657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Ronald A. Pizzuti, ’62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Chairman and CEO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The Pizzuti Companies</w:t>
      </w:r>
    </w:p>
    <w:p w14:paraId="5418CAE7" w14:textId="77777777" w:rsidR="003D657D" w:rsidRDefault="003D657D" w:rsidP="003D657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William B. Risman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Chairman</w:t>
      </w:r>
      <w:r>
        <w:rPr>
          <w:rFonts w:ascii="Arial" w:eastAsia="Times New Roman" w:hAnsi="Arial" w:cs="Arial"/>
          <w:sz w:val="24"/>
          <w:szCs w:val="24"/>
          <w:lang w:val="en"/>
        </w:rPr>
        <w:br/>
        <w:t>Burton Carol Management, LLC</w:t>
      </w:r>
    </w:p>
    <w:p w14:paraId="562CD1E4" w14:textId="77777777" w:rsidR="003D657D" w:rsidRDefault="003D657D" w:rsidP="003D657D"/>
    <w:p w14:paraId="1100BCAE" w14:textId="77777777" w:rsidR="00274FA0" w:rsidRDefault="00274FA0" w:rsidP="00274FA0"/>
    <w:p w14:paraId="0E41AB58" w14:textId="7A2600B8" w:rsidR="00C56F55" w:rsidRPr="00C56F55" w:rsidRDefault="00DC0385" w:rsidP="00274F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STUDENTS FIRST</w:t>
      </w:r>
      <w:bookmarkStart w:id="0" w:name="_Hlk21411860"/>
      <w:bookmarkStart w:id="1" w:name="_Hlk21410856"/>
    </w:p>
    <w:p w14:paraId="419329A9" w14:textId="01F58FE2" w:rsidR="00274FA0" w:rsidRPr="00FC02E9" w:rsidRDefault="00274FA0" w:rsidP="00FC02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Largest Gift</w:t>
      </w:r>
      <w:r w:rsidR="00FC02E9" w:rsidRPr="00534330">
        <w:rPr>
          <w:rFonts w:ascii="Arial" w:hAnsi="Arial" w:cs="Arial"/>
          <w:b/>
          <w:sz w:val="24"/>
          <w:szCs w:val="24"/>
        </w:rPr>
        <w:t xml:space="preserve">: More </w:t>
      </w:r>
      <w:r w:rsidR="00534330" w:rsidRPr="00534330">
        <w:rPr>
          <w:rFonts w:ascii="Arial" w:hAnsi="Arial" w:cs="Arial"/>
          <w:b/>
          <w:sz w:val="24"/>
          <w:szCs w:val="24"/>
        </w:rPr>
        <w:t>T</w:t>
      </w:r>
      <w:r w:rsidR="00FC02E9" w:rsidRPr="00534330">
        <w:rPr>
          <w:rFonts w:ascii="Arial" w:hAnsi="Arial" w:cs="Arial"/>
          <w:b/>
          <w:sz w:val="24"/>
          <w:szCs w:val="24"/>
        </w:rPr>
        <w:t>han</w:t>
      </w:r>
      <w:r w:rsidR="0099162C" w:rsidRPr="00534330">
        <w:rPr>
          <w:rFonts w:ascii="Arial" w:hAnsi="Arial" w:cs="Arial"/>
          <w:b/>
          <w:sz w:val="24"/>
          <w:szCs w:val="24"/>
        </w:rPr>
        <w:t xml:space="preserve"> </w:t>
      </w:r>
      <w:r w:rsidRPr="00534330">
        <w:rPr>
          <w:rFonts w:ascii="Arial" w:hAnsi="Arial" w:cs="Arial"/>
          <w:b/>
          <w:sz w:val="24"/>
          <w:szCs w:val="24"/>
        </w:rPr>
        <w:t>$</w:t>
      </w:r>
      <w:r w:rsidR="0099162C" w:rsidRPr="00534330">
        <w:rPr>
          <w:rFonts w:ascii="Arial" w:hAnsi="Arial" w:cs="Arial"/>
          <w:b/>
          <w:sz w:val="24"/>
          <w:szCs w:val="24"/>
        </w:rPr>
        <w:t>1</w:t>
      </w:r>
      <w:r w:rsidRPr="00534330">
        <w:rPr>
          <w:rFonts w:ascii="Arial" w:hAnsi="Arial" w:cs="Arial"/>
          <w:b/>
          <w:sz w:val="24"/>
          <w:szCs w:val="24"/>
        </w:rPr>
        <w:t xml:space="preserve"> million</w:t>
      </w:r>
      <w:r w:rsidRPr="00FC02E9">
        <w:rPr>
          <w:rFonts w:ascii="Arial" w:hAnsi="Arial" w:cs="Arial"/>
          <w:sz w:val="24"/>
          <w:szCs w:val="24"/>
        </w:rPr>
        <w:t xml:space="preserve"> </w:t>
      </w:r>
    </w:p>
    <w:p w14:paraId="45B21920" w14:textId="027D4D7C" w:rsidR="00274FA0" w:rsidRPr="005B5CAD" w:rsidRDefault="005B5CAD" w:rsidP="00274FA0">
      <w:pPr>
        <w:pStyle w:val="ListParagraph"/>
        <w:rPr>
          <w:rFonts w:ascii="Arial" w:hAnsi="Arial" w:cs="Arial"/>
          <w:sz w:val="24"/>
          <w:szCs w:val="24"/>
        </w:rPr>
      </w:pPr>
      <w:r w:rsidRPr="005B5CAD">
        <w:rPr>
          <w:rFonts w:ascii="Arial" w:hAnsi="Arial" w:cs="Arial"/>
          <w:sz w:val="24"/>
          <w:szCs w:val="24"/>
        </w:rPr>
        <w:t>Ascendium Education Group’s generous commitment supports a grant to remove barriers to higher education for Ohio’s most vulnerable students.</w:t>
      </w:r>
    </w:p>
    <w:p w14:paraId="5C7ACD92" w14:textId="77777777" w:rsidR="00274FA0" w:rsidRDefault="00274FA0" w:rsidP="00274FA0">
      <w:pPr>
        <w:rPr>
          <w:rFonts w:ascii="Arial" w:hAnsi="Arial" w:cs="Arial"/>
          <w:sz w:val="24"/>
          <w:szCs w:val="24"/>
        </w:rPr>
      </w:pPr>
    </w:p>
    <w:p w14:paraId="6E2D37EC" w14:textId="3A220D2E" w:rsidR="00274FA0" w:rsidRDefault="00274FA0" w:rsidP="00274F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$1 million</w:t>
      </w:r>
      <w:r w:rsidR="00D307CE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34330">
        <w:rPr>
          <w:rFonts w:ascii="Arial" w:hAnsi="Arial" w:cs="Arial"/>
          <w:b/>
          <w:sz w:val="24"/>
          <w:szCs w:val="24"/>
        </w:rPr>
        <w:t>R</w:t>
      </w:r>
      <w:r w:rsidR="00E121C7">
        <w:rPr>
          <w:rFonts w:ascii="Arial" w:hAnsi="Arial" w:cs="Arial"/>
          <w:b/>
          <w:sz w:val="24"/>
          <w:szCs w:val="24"/>
        </w:rPr>
        <w:t xml:space="preserve">aised in </w:t>
      </w:r>
      <w:r>
        <w:rPr>
          <w:rFonts w:ascii="Arial" w:hAnsi="Arial" w:cs="Arial"/>
          <w:b/>
          <w:sz w:val="24"/>
          <w:szCs w:val="24"/>
        </w:rPr>
        <w:t>Giving Tuesday Campaign</w:t>
      </w:r>
      <w:r w:rsidR="001755C7">
        <w:rPr>
          <w:rFonts w:ascii="Arial" w:hAnsi="Arial" w:cs="Arial"/>
          <w:b/>
          <w:sz w:val="24"/>
          <w:szCs w:val="24"/>
        </w:rPr>
        <w:t xml:space="preserve"> for </w:t>
      </w:r>
      <w:r w:rsidR="00FF388C">
        <w:rPr>
          <w:rFonts w:ascii="Arial" w:hAnsi="Arial" w:cs="Arial"/>
          <w:b/>
          <w:sz w:val="24"/>
          <w:szCs w:val="24"/>
        </w:rPr>
        <w:t xml:space="preserve">the </w:t>
      </w:r>
      <w:r w:rsidR="00534330">
        <w:rPr>
          <w:rFonts w:ascii="Arial" w:hAnsi="Arial" w:cs="Arial"/>
          <w:b/>
          <w:sz w:val="24"/>
          <w:szCs w:val="24"/>
        </w:rPr>
        <w:t>S</w:t>
      </w:r>
      <w:r w:rsidR="001755C7">
        <w:rPr>
          <w:rFonts w:ascii="Arial" w:hAnsi="Arial" w:cs="Arial"/>
          <w:b/>
          <w:sz w:val="24"/>
          <w:szCs w:val="24"/>
        </w:rPr>
        <w:t xml:space="preserve">econd </w:t>
      </w:r>
      <w:r w:rsidR="00534330">
        <w:rPr>
          <w:rFonts w:ascii="Arial" w:hAnsi="Arial" w:cs="Arial"/>
          <w:b/>
          <w:sz w:val="24"/>
          <w:szCs w:val="24"/>
        </w:rPr>
        <w:t>Y</w:t>
      </w:r>
      <w:r w:rsidR="001755C7">
        <w:rPr>
          <w:rFonts w:ascii="Arial" w:hAnsi="Arial" w:cs="Arial"/>
          <w:b/>
          <w:sz w:val="24"/>
          <w:szCs w:val="24"/>
        </w:rPr>
        <w:t xml:space="preserve">ear in a </w:t>
      </w:r>
      <w:r w:rsidR="00534330">
        <w:rPr>
          <w:rFonts w:ascii="Arial" w:hAnsi="Arial" w:cs="Arial"/>
          <w:b/>
          <w:sz w:val="24"/>
          <w:szCs w:val="24"/>
        </w:rPr>
        <w:t>R</w:t>
      </w:r>
      <w:r w:rsidR="001755C7">
        <w:rPr>
          <w:rFonts w:ascii="Arial" w:hAnsi="Arial" w:cs="Arial"/>
          <w:b/>
          <w:sz w:val="24"/>
          <w:szCs w:val="24"/>
        </w:rPr>
        <w:t>ow</w:t>
      </w:r>
    </w:p>
    <w:p w14:paraId="1358BBA2" w14:textId="47607E12" w:rsidR="00274FA0" w:rsidRDefault="00394C81" w:rsidP="00274FA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121C7">
        <w:rPr>
          <w:rFonts w:ascii="Arial" w:hAnsi="Arial" w:cs="Arial"/>
          <w:sz w:val="24"/>
          <w:szCs w:val="24"/>
        </w:rPr>
        <w:t xml:space="preserve">aised $3 million over the </w:t>
      </w:r>
      <w:r w:rsidR="00D307CE">
        <w:rPr>
          <w:rFonts w:ascii="Arial" w:hAnsi="Arial" w:cs="Arial"/>
          <w:sz w:val="24"/>
          <w:szCs w:val="24"/>
        </w:rPr>
        <w:t xml:space="preserve">six-year </w:t>
      </w:r>
      <w:r w:rsidR="00E121C7">
        <w:rPr>
          <w:rFonts w:ascii="Arial" w:hAnsi="Arial" w:cs="Arial"/>
          <w:sz w:val="24"/>
          <w:szCs w:val="24"/>
        </w:rPr>
        <w:t>life of the campaign</w:t>
      </w:r>
      <w:r w:rsidR="00534330">
        <w:rPr>
          <w:rFonts w:ascii="Arial" w:hAnsi="Arial" w:cs="Arial"/>
          <w:sz w:val="24"/>
          <w:szCs w:val="24"/>
        </w:rPr>
        <w:t>.</w:t>
      </w:r>
    </w:p>
    <w:p w14:paraId="65290AB0" w14:textId="212C0483" w:rsidR="00E121C7" w:rsidRDefault="00E121C7" w:rsidP="00274FA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become Kent State’s most generous </w:t>
      </w:r>
      <w:r w:rsidR="00534330">
        <w:rPr>
          <w:rFonts w:ascii="Arial" w:hAnsi="Arial" w:cs="Arial"/>
          <w:sz w:val="24"/>
          <w:szCs w:val="24"/>
        </w:rPr>
        <w:t xml:space="preserve">annual </w:t>
      </w:r>
      <w:r>
        <w:rPr>
          <w:rFonts w:ascii="Arial" w:hAnsi="Arial" w:cs="Arial"/>
          <w:sz w:val="24"/>
          <w:szCs w:val="24"/>
        </w:rPr>
        <w:t>tradition</w:t>
      </w:r>
      <w:r w:rsidR="00534330">
        <w:rPr>
          <w:rFonts w:ascii="Arial" w:hAnsi="Arial" w:cs="Arial"/>
          <w:sz w:val="24"/>
          <w:szCs w:val="24"/>
        </w:rPr>
        <w:t>.</w:t>
      </w:r>
    </w:p>
    <w:p w14:paraId="4E22F1F2" w14:textId="3831819F" w:rsidR="00274FA0" w:rsidRDefault="00274FA0" w:rsidP="00274FA0">
      <w:pPr>
        <w:rPr>
          <w:rFonts w:ascii="Arial" w:hAnsi="Arial" w:cs="Arial"/>
          <w:sz w:val="24"/>
          <w:szCs w:val="24"/>
        </w:rPr>
      </w:pPr>
    </w:p>
    <w:bookmarkEnd w:id="0"/>
    <w:p w14:paraId="501C55DF" w14:textId="77777777" w:rsidR="00954707" w:rsidRDefault="00954707" w:rsidP="00954707">
      <w:r>
        <w:rPr>
          <w:rFonts w:ascii="Arial" w:hAnsi="Arial" w:cs="Arial"/>
          <w:b/>
          <w:bCs/>
          <w:sz w:val="24"/>
          <w:szCs w:val="24"/>
        </w:rPr>
        <w:t xml:space="preserve">Leadership Annual Giving Program </w:t>
      </w:r>
    </w:p>
    <w:p w14:paraId="6A172CBE" w14:textId="2921E0A7" w:rsidR="00954707" w:rsidRDefault="00534330" w:rsidP="00954707">
      <w:pPr>
        <w:ind w:left="720"/>
      </w:pPr>
      <w:r>
        <w:rPr>
          <w:rFonts w:ascii="Arial" w:hAnsi="Arial" w:cs="Arial"/>
          <w:sz w:val="24"/>
          <w:szCs w:val="24"/>
        </w:rPr>
        <w:t>Four L</w:t>
      </w:r>
      <w:r w:rsidR="00954707">
        <w:rPr>
          <w:rFonts w:ascii="Arial" w:hAnsi="Arial" w:cs="Arial"/>
          <w:sz w:val="24"/>
          <w:szCs w:val="24"/>
        </w:rPr>
        <w:t>eadership Annual Giving Officers secured 183 gifts of $1,000 - $24,999, along with eight major gifts greater than $25,000</w:t>
      </w:r>
      <w:r>
        <w:rPr>
          <w:rFonts w:ascii="Arial" w:hAnsi="Arial" w:cs="Arial"/>
          <w:sz w:val="24"/>
          <w:szCs w:val="24"/>
        </w:rPr>
        <w:t xml:space="preserve"> in the program’s first full year</w:t>
      </w:r>
      <w:r w:rsidR="00954707">
        <w:rPr>
          <w:rFonts w:ascii="Arial" w:hAnsi="Arial" w:cs="Arial"/>
          <w:sz w:val="24"/>
          <w:szCs w:val="24"/>
        </w:rPr>
        <w:t xml:space="preserve">. An additional 568 gifts were secured through strategic direct marketing efforts. </w:t>
      </w:r>
    </w:p>
    <w:p w14:paraId="49A3BF5D" w14:textId="77777777" w:rsidR="00A24F47" w:rsidRDefault="00A24F47" w:rsidP="00274FA0">
      <w:pPr>
        <w:rPr>
          <w:rFonts w:ascii="Arial" w:hAnsi="Arial" w:cs="Arial"/>
          <w:sz w:val="24"/>
          <w:szCs w:val="24"/>
        </w:rPr>
      </w:pPr>
    </w:p>
    <w:p w14:paraId="257657B6" w14:textId="77777777" w:rsidR="00274FA0" w:rsidRDefault="00274FA0" w:rsidP="00274F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Scholarship Support</w:t>
      </w:r>
    </w:p>
    <w:p w14:paraId="480FB603" w14:textId="4F81E15F" w:rsidR="00274FA0" w:rsidRDefault="00D307CE" w:rsidP="00274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Scholarships support our focus on </w:t>
      </w:r>
      <w:r w:rsidR="00231F50">
        <w:rPr>
          <w:rFonts w:ascii="Arial" w:hAnsi="Arial" w:cs="Arial"/>
          <w:sz w:val="24"/>
          <w:szCs w:val="24"/>
        </w:rPr>
        <w:t xml:space="preserve">increasing </w:t>
      </w:r>
      <w:r>
        <w:rPr>
          <w:rFonts w:ascii="Arial" w:hAnsi="Arial" w:cs="Arial"/>
          <w:sz w:val="24"/>
          <w:szCs w:val="24"/>
        </w:rPr>
        <w:t>graduation rates. In 10 years</w:t>
      </w:r>
      <w:r w:rsidR="00231F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have doubled our four-year graduation rate to 51</w:t>
      </w:r>
      <w:r w:rsidR="00231F50">
        <w:rPr>
          <w:rFonts w:ascii="Arial" w:hAnsi="Arial" w:cs="Arial"/>
          <w:sz w:val="24"/>
          <w:szCs w:val="24"/>
        </w:rPr>
        <w:t xml:space="preserve"> percent</w:t>
      </w:r>
      <w:r>
        <w:rPr>
          <w:rFonts w:ascii="Arial" w:hAnsi="Arial" w:cs="Arial"/>
          <w:sz w:val="24"/>
          <w:szCs w:val="24"/>
        </w:rPr>
        <w:t>!</w:t>
      </w:r>
    </w:p>
    <w:p w14:paraId="1DC66337" w14:textId="77777777" w:rsidR="00274FA0" w:rsidRDefault="00274FA0" w:rsidP="00274FA0">
      <w:pPr>
        <w:rPr>
          <w:rFonts w:ascii="Arial" w:hAnsi="Arial" w:cs="Arial"/>
          <w:sz w:val="24"/>
          <w:szCs w:val="24"/>
        </w:rPr>
      </w:pPr>
    </w:p>
    <w:p w14:paraId="5ED8EB74" w14:textId="77777777" w:rsidR="00274FA0" w:rsidRPr="00240A55" w:rsidRDefault="00274FA0" w:rsidP="00274FA0">
      <w:pPr>
        <w:rPr>
          <w:rFonts w:ascii="Arial" w:hAnsi="Arial" w:cs="Arial"/>
          <w:b/>
          <w:sz w:val="24"/>
          <w:szCs w:val="24"/>
        </w:rPr>
      </w:pPr>
      <w:r w:rsidRPr="00240A55">
        <w:rPr>
          <w:rFonts w:ascii="Arial" w:hAnsi="Arial" w:cs="Arial"/>
          <w:b/>
          <w:sz w:val="24"/>
          <w:szCs w:val="24"/>
        </w:rPr>
        <w:t>82%</w:t>
      </w:r>
    </w:p>
    <w:p w14:paraId="42CD9D01" w14:textId="77777777" w:rsidR="00274FA0" w:rsidRPr="00FC5EE6" w:rsidRDefault="00274FA0" w:rsidP="00274FA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Kent State students receiving </w:t>
      </w:r>
      <w:r w:rsidRPr="00FC5EE6">
        <w:rPr>
          <w:rFonts w:ascii="Arial" w:hAnsi="Arial" w:cs="Arial"/>
          <w:bCs/>
          <w:sz w:val="24"/>
          <w:szCs w:val="24"/>
        </w:rPr>
        <w:t>financial assistance.</w:t>
      </w:r>
    </w:p>
    <w:p w14:paraId="650CFD5D" w14:textId="77777777" w:rsidR="00274FA0" w:rsidRPr="00FC5EE6" w:rsidRDefault="00274FA0" w:rsidP="00274FA0">
      <w:pPr>
        <w:rPr>
          <w:rFonts w:ascii="Arial" w:hAnsi="Arial" w:cs="Arial"/>
          <w:bCs/>
          <w:sz w:val="24"/>
          <w:szCs w:val="24"/>
        </w:rPr>
      </w:pPr>
    </w:p>
    <w:p w14:paraId="3E60B5FF" w14:textId="419FD52A" w:rsidR="00274FA0" w:rsidRPr="00240A55" w:rsidRDefault="00274FA0" w:rsidP="00274FA0">
      <w:pPr>
        <w:rPr>
          <w:rFonts w:ascii="Arial" w:hAnsi="Arial" w:cs="Arial"/>
          <w:b/>
          <w:sz w:val="24"/>
          <w:szCs w:val="24"/>
        </w:rPr>
      </w:pPr>
      <w:r w:rsidRPr="00240A55">
        <w:rPr>
          <w:rFonts w:ascii="Arial" w:hAnsi="Arial" w:cs="Arial"/>
          <w:b/>
          <w:sz w:val="24"/>
          <w:szCs w:val="24"/>
        </w:rPr>
        <w:t>$</w:t>
      </w:r>
      <w:r w:rsidR="00240A55" w:rsidRPr="00240A55">
        <w:rPr>
          <w:rFonts w:ascii="Arial" w:hAnsi="Arial" w:cs="Arial"/>
          <w:b/>
          <w:sz w:val="24"/>
          <w:szCs w:val="24"/>
        </w:rPr>
        <w:t>5.13</w:t>
      </w:r>
      <w:r w:rsidRPr="00240A55">
        <w:rPr>
          <w:rFonts w:ascii="Arial" w:hAnsi="Arial" w:cs="Arial"/>
          <w:b/>
          <w:sz w:val="24"/>
          <w:szCs w:val="24"/>
        </w:rPr>
        <w:t xml:space="preserve"> million</w:t>
      </w:r>
    </w:p>
    <w:p w14:paraId="1F32CFFB" w14:textId="3D207C20" w:rsidR="00274FA0" w:rsidRDefault="00274FA0" w:rsidP="00274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Amount of </w:t>
      </w:r>
      <w:r w:rsidRPr="00FC5EE6">
        <w:rPr>
          <w:rFonts w:ascii="Arial" w:hAnsi="Arial" w:cs="Arial"/>
          <w:bCs/>
          <w:sz w:val="24"/>
          <w:szCs w:val="24"/>
        </w:rPr>
        <w:t>private scholarship support</w:t>
      </w:r>
      <w:r>
        <w:rPr>
          <w:rFonts w:ascii="Arial" w:hAnsi="Arial" w:cs="Arial"/>
          <w:sz w:val="24"/>
          <w:szCs w:val="24"/>
        </w:rPr>
        <w:t xml:space="preserve"> provided to students by Kent State University Foundation donors in </w:t>
      </w:r>
      <w:r w:rsidR="00231F50">
        <w:rPr>
          <w:rFonts w:ascii="Arial" w:hAnsi="Arial" w:cs="Arial"/>
          <w:sz w:val="24"/>
          <w:szCs w:val="24"/>
        </w:rPr>
        <w:t>FY2019</w:t>
      </w:r>
      <w:r>
        <w:rPr>
          <w:rFonts w:ascii="Arial" w:hAnsi="Arial" w:cs="Arial"/>
          <w:sz w:val="24"/>
          <w:szCs w:val="24"/>
        </w:rPr>
        <w:t>.</w:t>
      </w:r>
    </w:p>
    <w:p w14:paraId="7B618993" w14:textId="77777777" w:rsidR="00274FA0" w:rsidRDefault="00274FA0" w:rsidP="00274FA0">
      <w:pPr>
        <w:rPr>
          <w:rFonts w:ascii="Arial" w:hAnsi="Arial" w:cs="Arial"/>
          <w:sz w:val="24"/>
          <w:szCs w:val="24"/>
        </w:rPr>
      </w:pPr>
    </w:p>
    <w:p w14:paraId="67E7D1D9" w14:textId="659EE07E" w:rsidR="00274FA0" w:rsidRPr="00240A55" w:rsidRDefault="00274FA0" w:rsidP="00274FA0">
      <w:pPr>
        <w:rPr>
          <w:rFonts w:ascii="Arial" w:hAnsi="Arial" w:cs="Arial"/>
          <w:b/>
          <w:sz w:val="24"/>
          <w:szCs w:val="24"/>
        </w:rPr>
      </w:pPr>
      <w:r w:rsidRPr="00240A55">
        <w:rPr>
          <w:rFonts w:ascii="Arial" w:hAnsi="Arial" w:cs="Arial"/>
          <w:b/>
          <w:sz w:val="24"/>
          <w:szCs w:val="24"/>
        </w:rPr>
        <w:t>1,2</w:t>
      </w:r>
      <w:r w:rsidR="00240A55" w:rsidRPr="00240A55">
        <w:rPr>
          <w:rFonts w:ascii="Arial" w:hAnsi="Arial" w:cs="Arial"/>
          <w:b/>
          <w:sz w:val="24"/>
          <w:szCs w:val="24"/>
        </w:rPr>
        <w:t>80</w:t>
      </w:r>
    </w:p>
    <w:p w14:paraId="436A5F01" w14:textId="77777777" w:rsidR="00274FA0" w:rsidRDefault="00274FA0" w:rsidP="00274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number of </w:t>
      </w:r>
      <w:r w:rsidRPr="00FC5EE6">
        <w:rPr>
          <w:rFonts w:ascii="Arial" w:hAnsi="Arial" w:cs="Arial"/>
          <w:bCs/>
          <w:sz w:val="24"/>
          <w:szCs w:val="24"/>
        </w:rPr>
        <w:t>donor-funded</w:t>
      </w:r>
      <w:r>
        <w:rPr>
          <w:rFonts w:ascii="Arial" w:hAnsi="Arial" w:cs="Arial"/>
          <w:sz w:val="24"/>
          <w:szCs w:val="24"/>
        </w:rPr>
        <w:t xml:space="preserve"> Kent State University Foundation endowments.</w:t>
      </w:r>
    </w:p>
    <w:bookmarkEnd w:id="1"/>
    <w:p w14:paraId="62CB75CA" w14:textId="77777777" w:rsidR="00274FA0" w:rsidRDefault="00274FA0" w:rsidP="00274FA0">
      <w:pPr>
        <w:rPr>
          <w:rFonts w:ascii="Arial" w:hAnsi="Arial" w:cs="Arial"/>
          <w:sz w:val="24"/>
          <w:szCs w:val="24"/>
        </w:rPr>
      </w:pPr>
    </w:p>
    <w:p w14:paraId="3272AAB7" w14:textId="77777777" w:rsidR="00274FA0" w:rsidRDefault="00274FA0" w:rsidP="00274FA0">
      <w:pPr>
        <w:rPr>
          <w:rFonts w:ascii="Arial" w:hAnsi="Arial" w:cs="Arial"/>
          <w:sz w:val="24"/>
          <w:szCs w:val="24"/>
        </w:rPr>
      </w:pPr>
    </w:p>
    <w:p w14:paraId="684DC12C" w14:textId="0BF1206B" w:rsidR="00274FA0" w:rsidRDefault="00DC0385" w:rsidP="00274FA0">
      <w:pPr>
        <w:rPr>
          <w:rFonts w:ascii="Arial" w:hAnsi="Arial" w:cs="Arial"/>
          <w:b/>
          <w:sz w:val="24"/>
          <w:szCs w:val="24"/>
        </w:rPr>
      </w:pPr>
      <w:bookmarkStart w:id="2" w:name="_Hlk21411875"/>
      <w:r>
        <w:rPr>
          <w:rFonts w:ascii="Arial" w:hAnsi="Arial" w:cs="Arial"/>
          <w:b/>
          <w:sz w:val="24"/>
          <w:szCs w:val="24"/>
        </w:rPr>
        <w:t>CAPITAL SUPPORT</w:t>
      </w:r>
    </w:p>
    <w:p w14:paraId="09F8B3C4" w14:textId="4473D008" w:rsidR="00274FA0" w:rsidRDefault="00274FA0" w:rsidP="00274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a magnet for talented students and to sustain the best faculty, we must provide the high-quality learning environments </w:t>
      </w:r>
      <w:r w:rsidR="00231F50">
        <w:rPr>
          <w:rFonts w:ascii="Arial" w:hAnsi="Arial" w:cs="Arial"/>
          <w:sz w:val="24"/>
          <w:szCs w:val="24"/>
        </w:rPr>
        <w:t>expected</w:t>
      </w:r>
      <w:r>
        <w:rPr>
          <w:rFonts w:ascii="Arial" w:hAnsi="Arial" w:cs="Arial"/>
          <w:sz w:val="24"/>
          <w:szCs w:val="24"/>
        </w:rPr>
        <w:t xml:space="preserve"> of a major research university.</w:t>
      </w:r>
    </w:p>
    <w:p w14:paraId="25152692" w14:textId="77777777" w:rsidR="00274FA0" w:rsidRDefault="00274FA0" w:rsidP="00274FA0">
      <w:pPr>
        <w:rPr>
          <w:rFonts w:ascii="Arial" w:hAnsi="Arial" w:cs="Arial"/>
          <w:b/>
          <w:sz w:val="24"/>
          <w:szCs w:val="24"/>
        </w:rPr>
      </w:pPr>
    </w:p>
    <w:p w14:paraId="15568EE1" w14:textId="77777777" w:rsidR="00274FA0" w:rsidRPr="00FF388C" w:rsidRDefault="00274FA0" w:rsidP="00274F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388C">
        <w:rPr>
          <w:rFonts w:ascii="Arial" w:hAnsi="Arial" w:cs="Arial"/>
          <w:sz w:val="24"/>
          <w:szCs w:val="24"/>
        </w:rPr>
        <w:t>College of Business Administration Building</w:t>
      </w:r>
    </w:p>
    <w:p w14:paraId="34B3FB39" w14:textId="0A53A4AE" w:rsidR="00274FA0" w:rsidRPr="00FF388C" w:rsidRDefault="00274FA0" w:rsidP="00274FA0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FF388C">
        <w:rPr>
          <w:rFonts w:ascii="Arial" w:hAnsi="Arial" w:cs="Arial"/>
          <w:sz w:val="24"/>
          <w:szCs w:val="24"/>
        </w:rPr>
        <w:t xml:space="preserve">Future building </w:t>
      </w:r>
      <w:r w:rsidR="00BB2259" w:rsidRPr="00FF388C">
        <w:rPr>
          <w:rFonts w:ascii="Arial" w:hAnsi="Arial" w:cs="Arial"/>
          <w:sz w:val="24"/>
          <w:szCs w:val="24"/>
        </w:rPr>
        <w:t>design approved</w:t>
      </w:r>
      <w:r w:rsidR="00D307CE">
        <w:rPr>
          <w:rFonts w:ascii="Arial" w:hAnsi="Arial" w:cs="Arial"/>
          <w:sz w:val="24"/>
          <w:szCs w:val="24"/>
        </w:rPr>
        <w:t xml:space="preserve"> and $</w:t>
      </w:r>
      <w:r w:rsidR="008F5C28">
        <w:rPr>
          <w:rFonts w:ascii="Arial" w:hAnsi="Arial" w:cs="Arial"/>
          <w:sz w:val="24"/>
          <w:szCs w:val="24"/>
        </w:rPr>
        <w:t>7.1</w:t>
      </w:r>
      <w:r w:rsidR="00D307CE">
        <w:rPr>
          <w:rFonts w:ascii="Arial" w:hAnsi="Arial" w:cs="Arial"/>
          <w:sz w:val="24"/>
          <w:szCs w:val="24"/>
        </w:rPr>
        <w:t xml:space="preserve"> million raised for project</w:t>
      </w:r>
      <w:r w:rsidR="00803492">
        <w:rPr>
          <w:rFonts w:ascii="Arial" w:hAnsi="Arial" w:cs="Arial"/>
          <w:sz w:val="24"/>
          <w:szCs w:val="24"/>
        </w:rPr>
        <w:t>.</w:t>
      </w:r>
    </w:p>
    <w:p w14:paraId="77B976FF" w14:textId="77777777" w:rsidR="00274FA0" w:rsidRPr="00FF388C" w:rsidRDefault="00274FA0" w:rsidP="00274F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388C">
        <w:rPr>
          <w:rFonts w:ascii="Arial" w:hAnsi="Arial" w:cs="Arial"/>
          <w:sz w:val="24"/>
          <w:szCs w:val="24"/>
        </w:rPr>
        <w:t>Design Innovation Initiative</w:t>
      </w:r>
    </w:p>
    <w:p w14:paraId="75B22FBC" w14:textId="4975F5CC" w:rsidR="00231F50" w:rsidRPr="00231F50" w:rsidRDefault="00274FA0" w:rsidP="00231F50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FF388C">
        <w:rPr>
          <w:rFonts w:ascii="Arial" w:hAnsi="Arial" w:cs="Arial"/>
          <w:sz w:val="24"/>
          <w:szCs w:val="24"/>
        </w:rPr>
        <w:t>Secured buildout of dining facility in the 24/7 Design Innovation Hub</w:t>
      </w:r>
    </w:p>
    <w:p w14:paraId="55DB1C59" w14:textId="7465EDAE" w:rsidR="00D307CE" w:rsidRDefault="00D307CE" w:rsidP="00D307C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FedEx Aeronautics Academic Center</w:t>
      </w:r>
      <w:r w:rsidR="00231F50">
        <w:rPr>
          <w:rFonts w:ascii="Arial" w:eastAsia="Times New Roman" w:hAnsi="Arial" w:cs="Arial"/>
          <w:sz w:val="24"/>
          <w:szCs w:val="24"/>
        </w:rPr>
        <w:t xml:space="preserve"> at the Kent State Airport</w:t>
      </w:r>
    </w:p>
    <w:p w14:paraId="1D2FB5A0" w14:textId="0C8E911B" w:rsidR="0023206E" w:rsidRPr="0023206E" w:rsidRDefault="0023206E" w:rsidP="0023206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CC46B1">
        <w:rPr>
          <w:rFonts w:ascii="Arial" w:eastAsia="Times New Roman" w:hAnsi="Arial" w:cs="Arial"/>
          <w:sz w:val="24"/>
          <w:szCs w:val="24"/>
        </w:rPr>
        <w:t xml:space="preserve">Board approved </w:t>
      </w:r>
      <w:r w:rsidR="001B0DE2">
        <w:rPr>
          <w:rFonts w:ascii="Arial" w:eastAsia="Times New Roman" w:hAnsi="Arial" w:cs="Arial"/>
          <w:sz w:val="24"/>
          <w:szCs w:val="24"/>
        </w:rPr>
        <w:t xml:space="preserve">naming </w:t>
      </w:r>
      <w:r w:rsidR="00CC46B1">
        <w:rPr>
          <w:rFonts w:ascii="Arial" w:eastAsia="Times New Roman" w:hAnsi="Arial" w:cs="Arial"/>
          <w:sz w:val="24"/>
          <w:szCs w:val="24"/>
        </w:rPr>
        <w:t>May 9, 2019, g</w:t>
      </w:r>
      <w:r>
        <w:rPr>
          <w:rFonts w:ascii="Arial" w:eastAsia="Times New Roman" w:hAnsi="Arial" w:cs="Arial"/>
          <w:sz w:val="24"/>
          <w:szCs w:val="24"/>
        </w:rPr>
        <w:t xml:space="preserve">rand opening </w:t>
      </w:r>
      <w:r w:rsidR="00CC46B1">
        <w:rPr>
          <w:rFonts w:ascii="Arial" w:eastAsia="Times New Roman" w:hAnsi="Arial" w:cs="Arial"/>
          <w:sz w:val="24"/>
          <w:szCs w:val="24"/>
        </w:rPr>
        <w:t>in fall</w:t>
      </w:r>
    </w:p>
    <w:p w14:paraId="3E235F02" w14:textId="77777777" w:rsidR="0023206E" w:rsidRPr="000C61AA" w:rsidRDefault="0023206E" w:rsidP="00D307C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C61AA">
        <w:rPr>
          <w:rFonts w:ascii="Arial" w:hAnsi="Arial" w:cs="Arial"/>
          <w:sz w:val="24"/>
          <w:szCs w:val="24"/>
        </w:rPr>
        <w:t xml:space="preserve">The John Elliot Center for Architecture and Environmental Design </w:t>
      </w:r>
    </w:p>
    <w:p w14:paraId="578A80C6" w14:textId="6A852466" w:rsidR="00274FA0" w:rsidRPr="000C61AA" w:rsidRDefault="0023206E" w:rsidP="0023206E">
      <w:pPr>
        <w:ind w:left="360"/>
        <w:rPr>
          <w:rFonts w:ascii="Arial" w:eastAsia="Times New Roman" w:hAnsi="Arial" w:cs="Arial"/>
          <w:sz w:val="24"/>
          <w:szCs w:val="24"/>
        </w:rPr>
      </w:pPr>
      <w:r w:rsidRPr="000C61AA">
        <w:rPr>
          <w:rFonts w:ascii="Arial" w:hAnsi="Arial" w:cs="Arial"/>
          <w:sz w:val="24"/>
          <w:szCs w:val="24"/>
        </w:rPr>
        <w:t xml:space="preserve">             Formally dedicated on April 11, 2019</w:t>
      </w:r>
      <w:bookmarkEnd w:id="2"/>
    </w:p>
    <w:p w14:paraId="377BA13E" w14:textId="77777777" w:rsidR="001B78A3" w:rsidRPr="001B78A3" w:rsidRDefault="001B78A3" w:rsidP="001B78A3">
      <w:pPr>
        <w:rPr>
          <w:rFonts w:ascii="Arial" w:hAnsi="Arial" w:cs="Arial"/>
          <w:sz w:val="24"/>
          <w:szCs w:val="24"/>
        </w:rPr>
      </w:pPr>
    </w:p>
    <w:p w14:paraId="49817B3C" w14:textId="100025DC" w:rsidR="00274FA0" w:rsidRPr="00DC0385" w:rsidRDefault="00DC0385" w:rsidP="00274FA0">
      <w:pPr>
        <w:rPr>
          <w:rFonts w:ascii="Arial" w:hAnsi="Arial" w:cs="Arial"/>
          <w:b/>
          <w:bCs/>
          <w:sz w:val="24"/>
          <w:szCs w:val="24"/>
        </w:rPr>
      </w:pPr>
      <w:r w:rsidRPr="00DC0385">
        <w:rPr>
          <w:rFonts w:ascii="Arial" w:hAnsi="Arial" w:cs="Arial"/>
          <w:b/>
          <w:bCs/>
          <w:sz w:val="24"/>
          <w:szCs w:val="24"/>
        </w:rPr>
        <w:t>ANNUAL HIGHLIGHTS</w:t>
      </w:r>
    </w:p>
    <w:p w14:paraId="413806C1" w14:textId="0444B392" w:rsidR="00274FA0" w:rsidRDefault="00274FA0" w:rsidP="00274FA0">
      <w:pPr>
        <w:rPr>
          <w:rFonts w:ascii="Arial" w:hAnsi="Arial" w:cs="Arial"/>
          <w:sz w:val="24"/>
          <w:szCs w:val="24"/>
        </w:rPr>
      </w:pPr>
      <w:bookmarkStart w:id="3" w:name="_Hlk21411956"/>
      <w:r>
        <w:rPr>
          <w:rFonts w:ascii="Arial" w:hAnsi="Arial" w:cs="Arial"/>
          <w:sz w:val="24"/>
          <w:szCs w:val="24"/>
        </w:rPr>
        <w:t>Private donor support secures Kent State’s dynamic future for many generations to come.</w:t>
      </w:r>
      <w:r w:rsidR="00E2105D">
        <w:rPr>
          <w:rFonts w:ascii="Arial" w:hAnsi="Arial" w:cs="Arial"/>
          <w:sz w:val="24"/>
          <w:szCs w:val="24"/>
        </w:rPr>
        <w:t xml:space="preserve"> </w:t>
      </w:r>
    </w:p>
    <w:p w14:paraId="3B371B2F" w14:textId="4DA1B2D9" w:rsidR="00274FA0" w:rsidRDefault="00274FA0" w:rsidP="00274FA0">
      <w:pPr>
        <w:rPr>
          <w:rFonts w:ascii="Arial" w:hAnsi="Arial" w:cs="Arial"/>
          <w:color w:val="FF0000"/>
          <w:sz w:val="24"/>
          <w:szCs w:val="24"/>
        </w:rPr>
      </w:pPr>
    </w:p>
    <w:p w14:paraId="4F571196" w14:textId="272A07BE" w:rsidR="0023206E" w:rsidRPr="0023206E" w:rsidRDefault="0023206E" w:rsidP="00274FA0">
      <w:pPr>
        <w:rPr>
          <w:rFonts w:ascii="Arial" w:hAnsi="Arial" w:cs="Arial"/>
          <w:b/>
          <w:bCs/>
          <w:sz w:val="24"/>
          <w:szCs w:val="24"/>
        </w:rPr>
      </w:pPr>
      <w:r w:rsidRPr="0023206E">
        <w:rPr>
          <w:rFonts w:ascii="Arial" w:hAnsi="Arial" w:cs="Arial"/>
          <w:b/>
          <w:bCs/>
          <w:sz w:val="24"/>
          <w:szCs w:val="24"/>
        </w:rPr>
        <w:t>Alumni Dollar Trends</w:t>
      </w:r>
    </w:p>
    <w:p w14:paraId="1277C058" w14:textId="3F6AC187" w:rsidR="0023206E" w:rsidRPr="0023206E" w:rsidRDefault="00ED13CB" w:rsidP="002320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3492">
        <w:rPr>
          <w:rFonts w:ascii="Arial" w:hAnsi="Arial" w:cs="Arial"/>
          <w:b/>
          <w:bCs/>
          <w:sz w:val="24"/>
          <w:szCs w:val="24"/>
        </w:rPr>
        <w:t>24</w:t>
      </w:r>
      <w:r w:rsidR="0023206E" w:rsidRPr="00803492">
        <w:rPr>
          <w:rFonts w:ascii="Arial" w:hAnsi="Arial" w:cs="Arial"/>
          <w:b/>
          <w:bCs/>
          <w:sz w:val="24"/>
          <w:szCs w:val="24"/>
        </w:rPr>
        <w:t xml:space="preserve"> percent</w:t>
      </w:r>
      <w:r w:rsidR="0023206E" w:rsidRPr="0023206E">
        <w:rPr>
          <w:rFonts w:ascii="Arial" w:hAnsi="Arial" w:cs="Arial"/>
          <w:sz w:val="24"/>
          <w:szCs w:val="24"/>
        </w:rPr>
        <w:t xml:space="preserve"> of alumni have made at least one gift</w:t>
      </w:r>
      <w:r>
        <w:rPr>
          <w:rFonts w:ascii="Arial" w:hAnsi="Arial" w:cs="Arial"/>
          <w:sz w:val="24"/>
          <w:szCs w:val="24"/>
        </w:rPr>
        <w:t>.</w:t>
      </w:r>
    </w:p>
    <w:p w14:paraId="04C901BE" w14:textId="37100E76" w:rsidR="0023206E" w:rsidRPr="0023206E" w:rsidRDefault="0023206E" w:rsidP="002320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206E">
        <w:rPr>
          <w:rFonts w:ascii="Arial" w:hAnsi="Arial" w:cs="Arial"/>
          <w:sz w:val="24"/>
          <w:szCs w:val="24"/>
        </w:rPr>
        <w:t xml:space="preserve">Kent State is on par with national trends for </w:t>
      </w:r>
      <w:r w:rsidR="00ED13CB">
        <w:rPr>
          <w:rFonts w:ascii="Arial" w:hAnsi="Arial" w:cs="Arial"/>
          <w:sz w:val="24"/>
          <w:szCs w:val="24"/>
        </w:rPr>
        <w:t>donations</w:t>
      </w:r>
      <w:r w:rsidRPr="0023206E">
        <w:rPr>
          <w:rFonts w:ascii="Arial" w:hAnsi="Arial" w:cs="Arial"/>
          <w:sz w:val="24"/>
          <w:szCs w:val="24"/>
        </w:rPr>
        <w:t xml:space="preserve"> from alumni, which </w:t>
      </w:r>
      <w:r w:rsidRPr="00803492">
        <w:rPr>
          <w:rFonts w:ascii="Arial" w:hAnsi="Arial" w:cs="Arial"/>
          <w:b/>
          <w:bCs/>
          <w:sz w:val="24"/>
          <w:szCs w:val="24"/>
        </w:rPr>
        <w:t>increased 3.6</w:t>
      </w:r>
      <w:r w:rsidR="00ED13CB" w:rsidRPr="00803492">
        <w:rPr>
          <w:rFonts w:ascii="Arial" w:hAnsi="Arial" w:cs="Arial"/>
          <w:b/>
          <w:bCs/>
          <w:sz w:val="24"/>
          <w:szCs w:val="24"/>
        </w:rPr>
        <w:t xml:space="preserve"> percent</w:t>
      </w:r>
      <w:r w:rsidRPr="0023206E">
        <w:rPr>
          <w:rFonts w:ascii="Arial" w:hAnsi="Arial" w:cs="Arial"/>
          <w:sz w:val="24"/>
          <w:szCs w:val="24"/>
        </w:rPr>
        <w:t xml:space="preserve"> last year</w:t>
      </w:r>
      <w:r w:rsidR="00350634">
        <w:rPr>
          <w:rFonts w:ascii="Arial" w:hAnsi="Arial" w:cs="Arial"/>
          <w:sz w:val="24"/>
          <w:szCs w:val="24"/>
        </w:rPr>
        <w:t>.</w:t>
      </w:r>
    </w:p>
    <w:p w14:paraId="2E657B74" w14:textId="77777777" w:rsidR="0023206E" w:rsidRPr="0023206E" w:rsidRDefault="0023206E" w:rsidP="0023206E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4C1AB377" w14:textId="77777777" w:rsidR="00274FA0" w:rsidRPr="0023206E" w:rsidRDefault="00274FA0" w:rsidP="00274FA0">
      <w:pPr>
        <w:rPr>
          <w:rFonts w:ascii="Arial" w:hAnsi="Arial" w:cs="Arial"/>
          <w:b/>
          <w:sz w:val="24"/>
          <w:szCs w:val="24"/>
        </w:rPr>
      </w:pPr>
      <w:r w:rsidRPr="0023206E">
        <w:rPr>
          <w:rFonts w:ascii="Arial" w:hAnsi="Arial" w:cs="Arial"/>
          <w:b/>
          <w:sz w:val="24"/>
          <w:szCs w:val="24"/>
        </w:rPr>
        <w:t>First Time vs. Repeat Donors</w:t>
      </w:r>
    </w:p>
    <w:p w14:paraId="3763AA75" w14:textId="2A88ACF2" w:rsidR="00274FA0" w:rsidRPr="0023206E" w:rsidRDefault="00274FA0" w:rsidP="00274F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3492">
        <w:rPr>
          <w:rFonts w:ascii="Arial" w:hAnsi="Arial" w:cs="Arial"/>
          <w:b/>
          <w:bCs/>
          <w:sz w:val="24"/>
          <w:szCs w:val="24"/>
        </w:rPr>
        <w:t>20,</w:t>
      </w:r>
      <w:r w:rsidR="0023206E" w:rsidRPr="00803492">
        <w:rPr>
          <w:rFonts w:ascii="Arial" w:hAnsi="Arial" w:cs="Arial"/>
          <w:b/>
          <w:bCs/>
          <w:sz w:val="24"/>
          <w:szCs w:val="24"/>
        </w:rPr>
        <w:t>224</w:t>
      </w:r>
      <w:r w:rsidRPr="0023206E">
        <w:rPr>
          <w:rFonts w:ascii="Arial" w:hAnsi="Arial" w:cs="Arial"/>
          <w:sz w:val="24"/>
          <w:szCs w:val="24"/>
        </w:rPr>
        <w:t xml:space="preserve"> </w:t>
      </w:r>
      <w:r w:rsidR="0023206E">
        <w:rPr>
          <w:rFonts w:ascii="Arial" w:hAnsi="Arial" w:cs="Arial"/>
          <w:sz w:val="24"/>
          <w:szCs w:val="24"/>
        </w:rPr>
        <w:t>d</w:t>
      </w:r>
      <w:r w:rsidRPr="0023206E">
        <w:rPr>
          <w:rFonts w:ascii="Arial" w:hAnsi="Arial" w:cs="Arial"/>
          <w:sz w:val="24"/>
          <w:szCs w:val="24"/>
        </w:rPr>
        <w:t>onors</w:t>
      </w:r>
      <w:r w:rsidR="0023206E">
        <w:rPr>
          <w:rFonts w:ascii="Arial" w:hAnsi="Arial" w:cs="Arial"/>
          <w:sz w:val="24"/>
          <w:szCs w:val="24"/>
        </w:rPr>
        <w:t xml:space="preserve"> in FY19</w:t>
      </w:r>
    </w:p>
    <w:p w14:paraId="058F1643" w14:textId="081015D8" w:rsidR="00274FA0" w:rsidRPr="00803492" w:rsidRDefault="00274FA0" w:rsidP="008034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3492">
        <w:rPr>
          <w:rFonts w:ascii="Arial" w:hAnsi="Arial" w:cs="Arial"/>
          <w:b/>
          <w:bCs/>
          <w:sz w:val="24"/>
          <w:szCs w:val="24"/>
        </w:rPr>
        <w:t>6 percent</w:t>
      </w:r>
      <w:r w:rsidRPr="00803492">
        <w:rPr>
          <w:rFonts w:ascii="Arial" w:hAnsi="Arial" w:cs="Arial"/>
          <w:sz w:val="24"/>
          <w:szCs w:val="24"/>
        </w:rPr>
        <w:t xml:space="preserve"> increase in donors over </w:t>
      </w:r>
      <w:r w:rsidR="0023206E" w:rsidRPr="00803492">
        <w:rPr>
          <w:rFonts w:ascii="Arial" w:hAnsi="Arial" w:cs="Arial"/>
          <w:sz w:val="24"/>
          <w:szCs w:val="24"/>
        </w:rPr>
        <w:t>the past three years</w:t>
      </w:r>
    </w:p>
    <w:p w14:paraId="5D55ADF4" w14:textId="19E6FDC2" w:rsidR="00274FA0" w:rsidRDefault="00274FA0" w:rsidP="00274F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3492">
        <w:rPr>
          <w:rFonts w:ascii="Arial" w:hAnsi="Arial" w:cs="Arial"/>
          <w:b/>
          <w:bCs/>
          <w:sz w:val="24"/>
          <w:szCs w:val="24"/>
        </w:rPr>
        <w:t>4,</w:t>
      </w:r>
      <w:r w:rsidR="0023206E" w:rsidRPr="00803492">
        <w:rPr>
          <w:rFonts w:ascii="Arial" w:hAnsi="Arial" w:cs="Arial"/>
          <w:b/>
          <w:bCs/>
          <w:sz w:val="24"/>
          <w:szCs w:val="24"/>
        </w:rPr>
        <w:t>129</w:t>
      </w:r>
      <w:r w:rsidRPr="0023206E">
        <w:rPr>
          <w:rFonts w:ascii="Arial" w:hAnsi="Arial" w:cs="Arial"/>
          <w:sz w:val="24"/>
          <w:szCs w:val="24"/>
        </w:rPr>
        <w:t xml:space="preserve"> </w:t>
      </w:r>
      <w:r w:rsidR="0023206E">
        <w:rPr>
          <w:rFonts w:ascii="Arial" w:hAnsi="Arial" w:cs="Arial"/>
          <w:sz w:val="24"/>
          <w:szCs w:val="24"/>
        </w:rPr>
        <w:t>f</w:t>
      </w:r>
      <w:r w:rsidRPr="0023206E">
        <w:rPr>
          <w:rFonts w:ascii="Arial" w:hAnsi="Arial" w:cs="Arial"/>
          <w:sz w:val="24"/>
          <w:szCs w:val="24"/>
        </w:rPr>
        <w:t>irst-</w:t>
      </w:r>
      <w:r w:rsidR="0023206E">
        <w:rPr>
          <w:rFonts w:ascii="Arial" w:hAnsi="Arial" w:cs="Arial"/>
          <w:sz w:val="24"/>
          <w:szCs w:val="24"/>
        </w:rPr>
        <w:t>t</w:t>
      </w:r>
      <w:r w:rsidRPr="0023206E">
        <w:rPr>
          <w:rFonts w:ascii="Arial" w:hAnsi="Arial" w:cs="Arial"/>
          <w:sz w:val="24"/>
          <w:szCs w:val="24"/>
        </w:rPr>
        <w:t xml:space="preserve">ime </w:t>
      </w:r>
      <w:r w:rsidR="0023206E">
        <w:rPr>
          <w:rFonts w:ascii="Arial" w:hAnsi="Arial" w:cs="Arial"/>
          <w:sz w:val="24"/>
          <w:szCs w:val="24"/>
        </w:rPr>
        <w:t>d</w:t>
      </w:r>
      <w:r w:rsidRPr="0023206E">
        <w:rPr>
          <w:rFonts w:ascii="Arial" w:hAnsi="Arial" w:cs="Arial"/>
          <w:sz w:val="24"/>
          <w:szCs w:val="24"/>
        </w:rPr>
        <w:t>onors</w:t>
      </w:r>
    </w:p>
    <w:p w14:paraId="17F2AA46" w14:textId="28B8281A" w:rsidR="0023206E" w:rsidRDefault="00ED13CB" w:rsidP="00274F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3492">
        <w:rPr>
          <w:rFonts w:ascii="Arial" w:hAnsi="Arial" w:cs="Arial"/>
          <w:b/>
          <w:bCs/>
          <w:sz w:val="24"/>
          <w:szCs w:val="24"/>
        </w:rPr>
        <w:t>33</w:t>
      </w:r>
      <w:r w:rsidR="0023206E" w:rsidRPr="00803492">
        <w:rPr>
          <w:rFonts w:ascii="Arial" w:hAnsi="Arial" w:cs="Arial"/>
          <w:b/>
          <w:bCs/>
          <w:sz w:val="24"/>
          <w:szCs w:val="24"/>
        </w:rPr>
        <w:t xml:space="preserve"> percent</w:t>
      </w:r>
      <w:r w:rsidR="0023206E">
        <w:rPr>
          <w:rFonts w:ascii="Arial" w:hAnsi="Arial" w:cs="Arial"/>
          <w:sz w:val="24"/>
          <w:szCs w:val="24"/>
        </w:rPr>
        <w:t xml:space="preserve"> of new donors in FY18 also donated in FY19</w:t>
      </w:r>
    </w:p>
    <w:p w14:paraId="3BE72F02" w14:textId="1F39E584" w:rsidR="00CC46B1" w:rsidRDefault="00CC46B1" w:rsidP="00274F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Average first-time gift </w:t>
      </w:r>
      <w:r w:rsidRPr="00803492">
        <w:rPr>
          <w:rFonts w:ascii="Arial" w:hAnsi="Arial" w:cs="Arial"/>
          <w:b/>
          <w:bCs/>
          <w:sz w:val="24"/>
          <w:szCs w:val="24"/>
        </w:rPr>
        <w:t>$155.25</w:t>
      </w:r>
    </w:p>
    <w:p w14:paraId="458C0C18" w14:textId="6171DD51" w:rsidR="00CC46B1" w:rsidRPr="0023206E" w:rsidRDefault="00CC46B1" w:rsidP="00274F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Average repeat gift </w:t>
      </w:r>
      <w:r w:rsidRPr="00803492">
        <w:rPr>
          <w:rFonts w:ascii="Arial" w:hAnsi="Arial" w:cs="Arial"/>
          <w:b/>
          <w:bCs/>
          <w:sz w:val="24"/>
          <w:szCs w:val="24"/>
        </w:rPr>
        <w:t>$440.26</w:t>
      </w:r>
    </w:p>
    <w:bookmarkEnd w:id="3"/>
    <w:p w14:paraId="02481824" w14:textId="5E59DF73" w:rsidR="00274FA0" w:rsidRDefault="00274FA0" w:rsidP="00274FA0">
      <w:pPr>
        <w:rPr>
          <w:rFonts w:ascii="Arial" w:hAnsi="Arial" w:cs="Arial"/>
          <w:b/>
          <w:sz w:val="24"/>
          <w:szCs w:val="24"/>
        </w:rPr>
      </w:pPr>
    </w:p>
    <w:p w14:paraId="7424F771" w14:textId="31E7CE29" w:rsidR="00E4764E" w:rsidRDefault="00E4764E" w:rsidP="00274FA0">
      <w:pPr>
        <w:rPr>
          <w:rFonts w:ascii="Arial" w:hAnsi="Arial" w:cs="Arial"/>
          <w:b/>
          <w:sz w:val="24"/>
          <w:szCs w:val="24"/>
        </w:rPr>
      </w:pPr>
    </w:p>
    <w:p w14:paraId="24DCDA81" w14:textId="77777777" w:rsidR="00EA4301" w:rsidRDefault="00EA4301" w:rsidP="00274FA0">
      <w:pPr>
        <w:rPr>
          <w:rFonts w:ascii="Arial" w:hAnsi="Arial" w:cs="Arial"/>
          <w:b/>
          <w:sz w:val="24"/>
          <w:szCs w:val="24"/>
        </w:rPr>
      </w:pPr>
    </w:p>
    <w:p w14:paraId="1D6684FC" w14:textId="1879CE3D" w:rsidR="00274FA0" w:rsidRDefault="00274FA0" w:rsidP="00274F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FINANCIALS </w:t>
      </w:r>
      <w:r w:rsidR="00E4764E">
        <w:rPr>
          <w:rFonts w:ascii="Arial" w:hAnsi="Arial" w:cs="Arial"/>
          <w:b/>
          <w:sz w:val="24"/>
          <w:szCs w:val="24"/>
        </w:rPr>
        <w:t>FY 2018 - 2019</w:t>
      </w:r>
    </w:p>
    <w:p w14:paraId="3D3A9D1E" w14:textId="5EB1A7C8" w:rsidR="00274FA0" w:rsidRPr="00E4764E" w:rsidRDefault="00E4764E" w:rsidP="00274FA0">
      <w:pPr>
        <w:rPr>
          <w:rFonts w:ascii="Arial" w:hAnsi="Arial" w:cs="Arial"/>
          <w:bCs/>
          <w:sz w:val="24"/>
          <w:szCs w:val="24"/>
        </w:rPr>
      </w:pPr>
      <w:r w:rsidRPr="00E4764E">
        <w:rPr>
          <w:rFonts w:ascii="Arial" w:hAnsi="Arial" w:cs="Arial"/>
          <w:bCs/>
          <w:sz w:val="24"/>
          <w:szCs w:val="24"/>
        </w:rPr>
        <w:t>Assets and Disbursements: Year ended June 30, 2019</w:t>
      </w:r>
    </w:p>
    <w:p w14:paraId="7D386687" w14:textId="77777777" w:rsidR="00274FA0" w:rsidRDefault="00274FA0" w:rsidP="00274FA0">
      <w:pPr>
        <w:rPr>
          <w:rFonts w:ascii="Arial" w:hAnsi="Arial" w:cs="Arial"/>
          <w:sz w:val="24"/>
          <w:szCs w:val="24"/>
        </w:rPr>
      </w:pPr>
    </w:p>
    <w:p w14:paraId="77C24F3D" w14:textId="241D839F" w:rsidR="00274FA0" w:rsidRDefault="00274FA0" w:rsidP="00274FA0">
      <w:pPr>
        <w:rPr>
          <w:rFonts w:ascii="Arial" w:hAnsi="Arial" w:cs="Arial"/>
          <w:b/>
          <w:sz w:val="24"/>
          <w:szCs w:val="24"/>
        </w:rPr>
      </w:pPr>
      <w:bookmarkStart w:id="4" w:name="_Hlk21932299"/>
      <w:r>
        <w:rPr>
          <w:rFonts w:ascii="Arial" w:hAnsi="Arial" w:cs="Arial"/>
          <w:b/>
          <w:sz w:val="24"/>
          <w:szCs w:val="24"/>
        </w:rPr>
        <w:t>Foundation Assets</w:t>
      </w:r>
      <w:r w:rsidR="00E4764E">
        <w:rPr>
          <w:rFonts w:ascii="Arial" w:hAnsi="Arial" w:cs="Arial"/>
          <w:b/>
          <w:sz w:val="24"/>
          <w:szCs w:val="24"/>
        </w:rPr>
        <w:t xml:space="preserve"> (in millions)</w:t>
      </w:r>
    </w:p>
    <w:p w14:paraId="7466BD49" w14:textId="51D1495A" w:rsidR="00274FA0" w:rsidRPr="006F1FBA" w:rsidRDefault="00274FA0" w:rsidP="00274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Assets – $</w:t>
      </w:r>
      <w:r w:rsidR="006F1FBA" w:rsidRPr="006F1FBA">
        <w:rPr>
          <w:rFonts w:ascii="Arial" w:hAnsi="Arial" w:cs="Arial"/>
          <w:sz w:val="24"/>
          <w:szCs w:val="24"/>
        </w:rPr>
        <w:t>245.9</w:t>
      </w:r>
    </w:p>
    <w:p w14:paraId="2478898A" w14:textId="5F71150E" w:rsidR="00274FA0" w:rsidRPr="006F1FBA" w:rsidRDefault="00274FA0" w:rsidP="00274FA0">
      <w:pPr>
        <w:rPr>
          <w:rFonts w:ascii="Arial" w:hAnsi="Arial" w:cs="Arial"/>
          <w:sz w:val="24"/>
          <w:szCs w:val="24"/>
        </w:rPr>
      </w:pPr>
      <w:r w:rsidRPr="006F1FBA">
        <w:rPr>
          <w:rFonts w:ascii="Arial" w:hAnsi="Arial" w:cs="Arial"/>
          <w:sz w:val="24"/>
          <w:szCs w:val="24"/>
        </w:rPr>
        <w:lastRenderedPageBreak/>
        <w:t>Endowed Assets – $</w:t>
      </w:r>
      <w:r w:rsidR="006F1FBA" w:rsidRPr="006F1FBA">
        <w:rPr>
          <w:rFonts w:ascii="Arial" w:hAnsi="Arial" w:cs="Arial"/>
          <w:sz w:val="24"/>
          <w:szCs w:val="24"/>
        </w:rPr>
        <w:t>141.4</w:t>
      </w:r>
    </w:p>
    <w:p w14:paraId="3F413BE3" w14:textId="77777777" w:rsidR="00274FA0" w:rsidRPr="006F1FBA" w:rsidRDefault="00274FA0" w:rsidP="00274FA0">
      <w:pPr>
        <w:rPr>
          <w:rFonts w:ascii="Arial" w:hAnsi="Arial" w:cs="Arial"/>
          <w:sz w:val="24"/>
          <w:szCs w:val="24"/>
        </w:rPr>
      </w:pPr>
    </w:p>
    <w:p w14:paraId="44A35B9D" w14:textId="517AC4A4" w:rsidR="00274FA0" w:rsidRPr="006F1FBA" w:rsidRDefault="00274FA0" w:rsidP="00274FA0">
      <w:pPr>
        <w:rPr>
          <w:rFonts w:ascii="Arial" w:hAnsi="Arial" w:cs="Arial"/>
          <w:b/>
          <w:sz w:val="24"/>
          <w:szCs w:val="24"/>
        </w:rPr>
      </w:pPr>
      <w:r w:rsidRPr="006F1FBA">
        <w:rPr>
          <w:rFonts w:ascii="Arial" w:hAnsi="Arial" w:cs="Arial"/>
          <w:b/>
          <w:sz w:val="24"/>
          <w:szCs w:val="24"/>
        </w:rPr>
        <w:t>Foundation Support to Kent State</w:t>
      </w:r>
      <w:r w:rsidR="00E4764E">
        <w:rPr>
          <w:rFonts w:ascii="Arial" w:hAnsi="Arial" w:cs="Arial"/>
          <w:b/>
          <w:sz w:val="24"/>
          <w:szCs w:val="24"/>
        </w:rPr>
        <w:t xml:space="preserve"> (in millions)</w:t>
      </w:r>
    </w:p>
    <w:p w14:paraId="49FE824E" w14:textId="0D8A8819" w:rsidR="00274FA0" w:rsidRPr="006F1FBA" w:rsidRDefault="00274FA0" w:rsidP="00274FA0">
      <w:pPr>
        <w:rPr>
          <w:rFonts w:ascii="Arial" w:hAnsi="Arial" w:cs="Arial"/>
          <w:sz w:val="24"/>
          <w:szCs w:val="24"/>
        </w:rPr>
      </w:pPr>
      <w:r w:rsidRPr="006F1FBA">
        <w:rPr>
          <w:rFonts w:ascii="Arial" w:hAnsi="Arial" w:cs="Arial"/>
          <w:sz w:val="24"/>
          <w:szCs w:val="24"/>
        </w:rPr>
        <w:t>Grants to Kent State University – $</w:t>
      </w:r>
      <w:r w:rsidR="006F1FBA" w:rsidRPr="006F1FBA">
        <w:rPr>
          <w:rFonts w:ascii="Arial" w:hAnsi="Arial" w:cs="Arial"/>
          <w:sz w:val="24"/>
          <w:szCs w:val="24"/>
        </w:rPr>
        <w:t>10.8</w:t>
      </w:r>
    </w:p>
    <w:p w14:paraId="43D9D63C" w14:textId="3938690F" w:rsidR="00274FA0" w:rsidRPr="006F1FBA" w:rsidRDefault="00274FA0" w:rsidP="00274FA0">
      <w:pPr>
        <w:rPr>
          <w:rFonts w:ascii="Arial" w:hAnsi="Arial" w:cs="Arial"/>
          <w:sz w:val="24"/>
          <w:szCs w:val="24"/>
        </w:rPr>
      </w:pPr>
      <w:r w:rsidRPr="006F1FBA">
        <w:rPr>
          <w:rFonts w:ascii="Arial" w:hAnsi="Arial" w:cs="Arial"/>
          <w:sz w:val="24"/>
          <w:szCs w:val="24"/>
        </w:rPr>
        <w:t>Scholarships Awarded – $</w:t>
      </w:r>
      <w:r w:rsidR="006F1FBA" w:rsidRPr="006F1FBA">
        <w:rPr>
          <w:rFonts w:ascii="Arial" w:hAnsi="Arial" w:cs="Arial"/>
          <w:sz w:val="24"/>
          <w:szCs w:val="24"/>
        </w:rPr>
        <w:t>5.3</w:t>
      </w:r>
    </w:p>
    <w:bookmarkEnd w:id="4"/>
    <w:p w14:paraId="16FC84DB" w14:textId="680A4AC7" w:rsidR="0032564C" w:rsidRDefault="0032564C"/>
    <w:p w14:paraId="7A2B3D80" w14:textId="5EF4E357" w:rsidR="000E0F53" w:rsidRDefault="00E51874" w:rsidP="00D454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Financials FY 2018 - 2019</w:t>
      </w:r>
    </w:p>
    <w:p w14:paraId="32ABF754" w14:textId="77777777" w:rsidR="00BD2B57" w:rsidRDefault="00E51874" w:rsidP="00D4548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Pr="00E51874">
        <w:rPr>
          <w:rFonts w:ascii="Arial" w:hAnsi="Arial" w:cs="Arial"/>
          <w:bCs/>
          <w:sz w:val="24"/>
          <w:szCs w:val="24"/>
        </w:rPr>
        <w:t xml:space="preserve">tatement of </w:t>
      </w:r>
      <w:r>
        <w:rPr>
          <w:rFonts w:ascii="Arial" w:hAnsi="Arial" w:cs="Arial"/>
          <w:bCs/>
          <w:sz w:val="24"/>
          <w:szCs w:val="24"/>
        </w:rPr>
        <w:t>F</w:t>
      </w:r>
      <w:r w:rsidRPr="00E51874">
        <w:rPr>
          <w:rFonts w:ascii="Arial" w:hAnsi="Arial" w:cs="Arial"/>
          <w:bCs/>
          <w:sz w:val="24"/>
          <w:szCs w:val="24"/>
        </w:rPr>
        <w:t xml:space="preserve">inancial </w:t>
      </w:r>
      <w:r>
        <w:rPr>
          <w:rFonts w:ascii="Arial" w:hAnsi="Arial" w:cs="Arial"/>
          <w:bCs/>
          <w:sz w:val="24"/>
          <w:szCs w:val="24"/>
        </w:rPr>
        <w:t>P</w:t>
      </w:r>
      <w:r w:rsidRPr="00E51874">
        <w:rPr>
          <w:rFonts w:ascii="Arial" w:hAnsi="Arial" w:cs="Arial"/>
          <w:bCs/>
          <w:sz w:val="24"/>
          <w:szCs w:val="24"/>
        </w:rPr>
        <w:t xml:space="preserve">osition </w:t>
      </w:r>
    </w:p>
    <w:p w14:paraId="76E7E707" w14:textId="7EA8F42A" w:rsidR="00D45488" w:rsidRPr="00E51874" w:rsidRDefault="00D45488" w:rsidP="00D45488">
      <w:pPr>
        <w:rPr>
          <w:rFonts w:ascii="Arial" w:hAnsi="Arial" w:cs="Arial"/>
          <w:bCs/>
          <w:sz w:val="24"/>
          <w:szCs w:val="24"/>
        </w:rPr>
      </w:pPr>
      <w:r w:rsidRPr="00E51874">
        <w:rPr>
          <w:rFonts w:ascii="Arial" w:hAnsi="Arial" w:cs="Arial"/>
          <w:bCs/>
          <w:sz w:val="24"/>
          <w:szCs w:val="24"/>
        </w:rPr>
        <w:t>June 30, 2019 and 2018</w:t>
      </w:r>
    </w:p>
    <w:p w14:paraId="399700D0" w14:textId="77777777" w:rsidR="00D45488" w:rsidRDefault="00D45488" w:rsidP="00D4548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D45488" w14:paraId="43ADF605" w14:textId="77777777" w:rsidTr="00C6249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FC68" w14:textId="77777777" w:rsidR="00D45488" w:rsidRDefault="00D45488" w:rsidP="00C6249A">
            <w:pPr>
              <w:rPr>
                <w:b/>
              </w:rPr>
            </w:pPr>
            <w:r>
              <w:rPr>
                <w:b/>
              </w:rPr>
              <w:t>ASSETS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219C" w14:textId="7EC75855" w:rsidR="00D45488" w:rsidRDefault="00D45488" w:rsidP="00C6249A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3305" w14:textId="23AEBB7B" w:rsidR="00D45488" w:rsidRDefault="00D45488" w:rsidP="00C6249A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D45488" w14:paraId="5E21DEE5" w14:textId="77777777" w:rsidTr="00C6249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084B" w14:textId="77777777" w:rsidR="00D45488" w:rsidRPr="00BD2B57" w:rsidRDefault="00D45488" w:rsidP="00C6249A">
            <w:pPr>
              <w:rPr>
                <w:b/>
                <w:bCs/>
              </w:rPr>
            </w:pPr>
            <w:r w:rsidRPr="00BD2B57">
              <w:rPr>
                <w:b/>
                <w:bCs/>
              </w:rPr>
              <w:t>Cash and cash equivalents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DCFF" w14:textId="48CE0CD1" w:rsidR="00D45488" w:rsidRDefault="001C4F07" w:rsidP="00C6249A">
            <w:r>
              <w:t>$2,910,082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DB82" w14:textId="7A07F094" w:rsidR="00D45488" w:rsidRDefault="00C04551" w:rsidP="00C6249A">
            <w:r>
              <w:t>$2,749,506</w:t>
            </w:r>
          </w:p>
        </w:tc>
      </w:tr>
      <w:tr w:rsidR="00D45488" w14:paraId="76084B1D" w14:textId="77777777" w:rsidTr="00C6249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DAC5" w14:textId="77777777" w:rsidR="00D45488" w:rsidRPr="00BD2B57" w:rsidRDefault="00D45488" w:rsidP="00C6249A">
            <w:pPr>
              <w:rPr>
                <w:b/>
                <w:bCs/>
              </w:rPr>
            </w:pPr>
            <w:r w:rsidRPr="00BD2B57">
              <w:rPr>
                <w:b/>
                <w:bCs/>
              </w:rPr>
              <w:t>Receivables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A0C5" w14:textId="77777777" w:rsidR="00D45488" w:rsidRDefault="00D45488" w:rsidP="00C6249A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59F2" w14:textId="77777777" w:rsidR="00D45488" w:rsidRDefault="00D45488" w:rsidP="00C6249A"/>
        </w:tc>
      </w:tr>
      <w:tr w:rsidR="001C4F07" w14:paraId="6FEF04F4" w14:textId="77777777" w:rsidTr="00C6249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8C33" w14:textId="77777777" w:rsidR="001C4F07" w:rsidRDefault="001C4F07" w:rsidP="001C4F07">
            <w:r>
              <w:t xml:space="preserve">   Pledges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5353" w14:textId="7767B885" w:rsidR="001C4F07" w:rsidRDefault="001C4F07" w:rsidP="001C4F07">
            <w:r>
              <w:t>19,117,135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65FB" w14:textId="27AC6F60" w:rsidR="001C4F07" w:rsidRDefault="001C4F07" w:rsidP="001C4F07">
            <w:r>
              <w:t>20,443,860</w:t>
            </w:r>
          </w:p>
        </w:tc>
      </w:tr>
      <w:tr w:rsidR="001C4F07" w14:paraId="0DF180B1" w14:textId="77777777" w:rsidTr="00C6249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FC60" w14:textId="77777777" w:rsidR="001C4F07" w:rsidRDefault="001C4F07" w:rsidP="001C4F07">
            <w:r>
              <w:t xml:space="preserve">   Interest on notes receivable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D2E8" w14:textId="65D904DA" w:rsidR="001C4F07" w:rsidRDefault="001C4F07" w:rsidP="001C4F07">
            <w:pPr>
              <w:rPr>
                <w:u w:val="single"/>
              </w:rPr>
            </w:pPr>
            <w:r>
              <w:rPr>
                <w:u w:val="single"/>
              </w:rPr>
              <w:t xml:space="preserve">  1,048,243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D491" w14:textId="44A58BE7" w:rsidR="001C4F07" w:rsidRDefault="001C4F07" w:rsidP="001C4F07">
            <w:pPr>
              <w:rPr>
                <w:u w:val="single"/>
              </w:rPr>
            </w:pPr>
            <w:r>
              <w:rPr>
                <w:u w:val="single"/>
              </w:rPr>
              <w:t xml:space="preserve">     744,510</w:t>
            </w:r>
          </w:p>
        </w:tc>
      </w:tr>
      <w:tr w:rsidR="001C4F07" w14:paraId="2DA36720" w14:textId="77777777" w:rsidTr="00C6249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BAC1" w14:textId="77777777" w:rsidR="001C4F07" w:rsidRDefault="001C4F07" w:rsidP="001C4F07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374A" w14:textId="73514C6E" w:rsidR="001C4F07" w:rsidRDefault="001C4F07" w:rsidP="001C4F07">
            <w:r>
              <w:t>20,165,378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B5B3" w14:textId="66A3ED76" w:rsidR="001C4F07" w:rsidRDefault="001C4F07" w:rsidP="001C4F07">
            <w:r>
              <w:t>21,188,370</w:t>
            </w:r>
          </w:p>
        </w:tc>
      </w:tr>
      <w:tr w:rsidR="001C4F07" w14:paraId="4A2C7B9A" w14:textId="77777777" w:rsidTr="00C6249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FAF5" w14:textId="77777777" w:rsidR="001C4F07" w:rsidRPr="00BD2B57" w:rsidRDefault="001C4F07" w:rsidP="001C4F07">
            <w:pPr>
              <w:rPr>
                <w:b/>
                <w:bCs/>
              </w:rPr>
            </w:pPr>
            <w:r w:rsidRPr="00BD2B57">
              <w:rPr>
                <w:b/>
                <w:bCs/>
              </w:rPr>
              <w:t>Investments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7C04" w14:textId="77777777" w:rsidR="001C4F07" w:rsidRDefault="001C4F07" w:rsidP="001C4F07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9EC3" w14:textId="77777777" w:rsidR="001C4F07" w:rsidRDefault="001C4F07" w:rsidP="001C4F07"/>
        </w:tc>
      </w:tr>
      <w:tr w:rsidR="001C4F07" w14:paraId="5271A624" w14:textId="77777777" w:rsidTr="00C6249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97D7" w14:textId="77777777" w:rsidR="001C4F07" w:rsidRDefault="001C4F07" w:rsidP="001C4F07">
            <w:r>
              <w:t xml:space="preserve">   Long-term pool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E53B" w14:textId="5596F804" w:rsidR="001C4F07" w:rsidRDefault="001C4F07" w:rsidP="001C4F07">
            <w:r>
              <w:t>183,432,100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BEE9" w14:textId="5AB914A1" w:rsidR="001C4F07" w:rsidRDefault="001C4F07" w:rsidP="001C4F07">
            <w:r>
              <w:t>174,648,555</w:t>
            </w:r>
          </w:p>
        </w:tc>
      </w:tr>
      <w:tr w:rsidR="001C4F07" w14:paraId="567A7BF8" w14:textId="77777777" w:rsidTr="00C6249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A770" w14:textId="77777777" w:rsidR="001C4F07" w:rsidRDefault="001C4F07" w:rsidP="001C4F07">
            <w:r>
              <w:t xml:space="preserve">   Charitable remainder trusts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7743" w14:textId="0D34B7D5" w:rsidR="001C4F07" w:rsidRDefault="001C4F07" w:rsidP="001C4F07">
            <w:r>
              <w:t xml:space="preserve">    6,135,610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1DAE" w14:textId="63F3C96A" w:rsidR="001C4F07" w:rsidRDefault="001C4F07" w:rsidP="001C4F07">
            <w:r>
              <w:t xml:space="preserve">    6,218,597</w:t>
            </w:r>
          </w:p>
        </w:tc>
      </w:tr>
      <w:tr w:rsidR="001C4F07" w14:paraId="0B906077" w14:textId="77777777" w:rsidTr="00C6249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B82E" w14:textId="77777777" w:rsidR="001C4F07" w:rsidRDefault="001C4F07" w:rsidP="001C4F07">
            <w:r>
              <w:t xml:space="preserve">   Short-term pool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8373" w14:textId="79D78256" w:rsidR="001C4F07" w:rsidRDefault="001C4F07" w:rsidP="001C4F07">
            <w:pPr>
              <w:rPr>
                <w:u w:val="single"/>
              </w:rPr>
            </w:pPr>
            <w:r>
              <w:rPr>
                <w:u w:val="single"/>
              </w:rPr>
              <w:t xml:space="preserve">    2,601,319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71E0" w14:textId="7561ED1D" w:rsidR="001C4F07" w:rsidRDefault="001C4F07" w:rsidP="001C4F07">
            <w:pPr>
              <w:rPr>
                <w:u w:val="single"/>
              </w:rPr>
            </w:pPr>
            <w:r>
              <w:rPr>
                <w:u w:val="single"/>
              </w:rPr>
              <w:t xml:space="preserve">    3,858,310</w:t>
            </w:r>
          </w:p>
        </w:tc>
      </w:tr>
      <w:tr w:rsidR="001C4F07" w14:paraId="011A8BD2" w14:textId="77777777" w:rsidTr="00C6249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C27" w14:textId="77777777" w:rsidR="001C4F07" w:rsidRDefault="001C4F07" w:rsidP="001C4F07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A7DE" w14:textId="0836BFD5" w:rsidR="001C4F07" w:rsidRDefault="001C4F07" w:rsidP="001C4F07">
            <w:r>
              <w:t>192,169,029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BA94" w14:textId="30D78176" w:rsidR="001C4F07" w:rsidRDefault="001C4F07" w:rsidP="001C4F07">
            <w:r>
              <w:t>184,725,462</w:t>
            </w:r>
          </w:p>
        </w:tc>
      </w:tr>
      <w:tr w:rsidR="001C4F07" w14:paraId="01DBD34E" w14:textId="77777777" w:rsidTr="00C6249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B8C6" w14:textId="77777777" w:rsidR="001C4F07" w:rsidRDefault="001C4F07" w:rsidP="001C4F07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7AB1" w14:textId="77777777" w:rsidR="001C4F07" w:rsidRDefault="001C4F07" w:rsidP="001C4F07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B9EF" w14:textId="77777777" w:rsidR="001C4F07" w:rsidRDefault="001C4F07" w:rsidP="001C4F07"/>
        </w:tc>
      </w:tr>
      <w:tr w:rsidR="001C4F07" w14:paraId="13DAF6E7" w14:textId="77777777" w:rsidTr="00C6249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03C4" w14:textId="77777777" w:rsidR="001C4F07" w:rsidRDefault="001C4F07" w:rsidP="001C4F07">
            <w:r>
              <w:t>Beneficial interest in trusts held by others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6B65" w14:textId="0D4DD94D" w:rsidR="001C4F07" w:rsidRDefault="001C4F07" w:rsidP="001C4F07">
            <w:r>
              <w:t xml:space="preserve">    4,802,296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CF77" w14:textId="50E20CA2" w:rsidR="001C4F07" w:rsidRDefault="001C4F07" w:rsidP="001C4F07">
            <w:r>
              <w:t xml:space="preserve">    4,396,763</w:t>
            </w:r>
          </w:p>
        </w:tc>
      </w:tr>
      <w:tr w:rsidR="001C4F07" w14:paraId="14E5FDFA" w14:textId="77777777" w:rsidTr="00C6249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BA42" w14:textId="22F0E3DA" w:rsidR="001C4F07" w:rsidRDefault="001C4F07" w:rsidP="001C4F07">
            <w:r>
              <w:t>Notes receivable – Hotel and Conference      Center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549C" w14:textId="77777777" w:rsidR="001C4F07" w:rsidRDefault="001C4F07" w:rsidP="001C4F07">
            <w:r>
              <w:t xml:space="preserve">  14,426,108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CE51" w14:textId="498C6E31" w:rsidR="001C4F07" w:rsidRDefault="001C4F07" w:rsidP="001C4F07">
            <w:r>
              <w:t xml:space="preserve">  14,426,108</w:t>
            </w:r>
          </w:p>
        </w:tc>
      </w:tr>
      <w:tr w:rsidR="001C4F07" w14:paraId="57E1FDBE" w14:textId="77777777" w:rsidTr="00C6249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1FBC" w14:textId="169545E6" w:rsidR="001C4F07" w:rsidRDefault="001C4F07" w:rsidP="001C4F07">
            <w:r>
              <w:t>Property, net of depreciation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46D0" w14:textId="115F215D" w:rsidR="001C4F07" w:rsidRDefault="001C4F07" w:rsidP="001C4F07">
            <w:pPr>
              <w:rPr>
                <w:u w:val="single"/>
              </w:rPr>
            </w:pPr>
            <w:r>
              <w:rPr>
                <w:u w:val="single"/>
              </w:rPr>
              <w:t xml:space="preserve">  11,466,735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7965" w14:textId="7563D0D8" w:rsidR="001C4F07" w:rsidRDefault="001C4F07" w:rsidP="001C4F07">
            <w:pPr>
              <w:rPr>
                <w:u w:val="single"/>
              </w:rPr>
            </w:pPr>
            <w:r>
              <w:rPr>
                <w:u w:val="single"/>
              </w:rPr>
              <w:t xml:space="preserve">  11,683,124</w:t>
            </w:r>
          </w:p>
        </w:tc>
      </w:tr>
      <w:tr w:rsidR="001C4F07" w14:paraId="356157E0" w14:textId="77777777" w:rsidTr="00C6249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4B00" w14:textId="77777777" w:rsidR="001C4F07" w:rsidRDefault="001C4F07" w:rsidP="001C4F0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04D5" w14:textId="08429A12" w:rsidR="001C4F07" w:rsidRDefault="001C4F07" w:rsidP="001C4F07">
            <w:pPr>
              <w:rPr>
                <w:u w:val="double"/>
              </w:rPr>
            </w:pPr>
            <w:r>
              <w:rPr>
                <w:u w:val="double"/>
              </w:rPr>
              <w:t>$245,939,628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444F" w14:textId="458723B0" w:rsidR="001C4F07" w:rsidRDefault="001C4F07" w:rsidP="001C4F07">
            <w:pPr>
              <w:rPr>
                <w:u w:val="double"/>
              </w:rPr>
            </w:pPr>
            <w:r>
              <w:rPr>
                <w:u w:val="double"/>
              </w:rPr>
              <w:t>$239,169,333</w:t>
            </w:r>
          </w:p>
        </w:tc>
      </w:tr>
      <w:tr w:rsidR="001C4F07" w14:paraId="4A5CBC00" w14:textId="77777777" w:rsidTr="00C6249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09A8" w14:textId="77777777" w:rsidR="001C4F07" w:rsidRDefault="001C4F07" w:rsidP="001C4F07">
            <w:r>
              <w:rPr>
                <w:b/>
              </w:rPr>
              <w:t>LIABILITIES AND NET ASSETS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77B5" w14:textId="77777777" w:rsidR="001C4F07" w:rsidRDefault="001C4F07" w:rsidP="001C4F07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1008" w14:textId="77777777" w:rsidR="001C4F07" w:rsidRDefault="001C4F07" w:rsidP="001C4F07"/>
        </w:tc>
      </w:tr>
      <w:tr w:rsidR="001C4F07" w14:paraId="41C5BB75" w14:textId="77777777" w:rsidTr="00C6249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3592" w14:textId="390AFC50" w:rsidR="001C4F07" w:rsidRPr="00BD2B57" w:rsidRDefault="00C66FF4" w:rsidP="001C4F07">
            <w:pPr>
              <w:rPr>
                <w:b/>
                <w:bCs/>
              </w:rPr>
            </w:pPr>
            <w:r w:rsidRPr="00BD2B57">
              <w:rPr>
                <w:b/>
                <w:bCs/>
              </w:rPr>
              <w:t>L</w:t>
            </w:r>
            <w:r w:rsidR="00BD2B57" w:rsidRPr="00BD2B57">
              <w:rPr>
                <w:b/>
                <w:bCs/>
              </w:rPr>
              <w:t>iabilities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1F9E" w14:textId="77777777" w:rsidR="001C4F07" w:rsidRDefault="001C4F07" w:rsidP="001C4F07">
            <w:r>
              <w:t xml:space="preserve">     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DAB9" w14:textId="77777777" w:rsidR="001C4F07" w:rsidRDefault="001C4F07" w:rsidP="001C4F07"/>
        </w:tc>
      </w:tr>
      <w:tr w:rsidR="001C4F07" w14:paraId="5C265243" w14:textId="77777777" w:rsidTr="00C6249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3F95" w14:textId="77777777" w:rsidR="001C4F07" w:rsidRDefault="001C4F07" w:rsidP="001C4F07">
            <w:r>
              <w:t xml:space="preserve">   Accounts payable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2D4B" w14:textId="31B4B1A6" w:rsidR="001C4F07" w:rsidRDefault="001C4F07" w:rsidP="001C4F07">
            <w:r>
              <w:t xml:space="preserve">$      </w:t>
            </w:r>
            <w:r w:rsidR="00B756F7">
              <w:t>478</w:t>
            </w:r>
            <w:r>
              <w:t>,</w:t>
            </w:r>
            <w:r w:rsidR="00B756F7">
              <w:t>794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5AE1" w14:textId="12479113" w:rsidR="001C4F07" w:rsidRDefault="001C4F07" w:rsidP="001C4F07">
            <w:r>
              <w:t>$       359,459</w:t>
            </w:r>
          </w:p>
        </w:tc>
      </w:tr>
      <w:tr w:rsidR="001C4F07" w14:paraId="73B33B0D" w14:textId="77777777" w:rsidTr="00C6249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BD2A" w14:textId="77777777" w:rsidR="001C4F07" w:rsidRDefault="001C4F07" w:rsidP="001C4F07">
            <w:r>
              <w:t xml:space="preserve">   Funds held for others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D285" w14:textId="19D28AD1" w:rsidR="001C4F07" w:rsidRDefault="001C4F07" w:rsidP="001C4F07">
            <w:r>
              <w:t xml:space="preserve">   10,</w:t>
            </w:r>
            <w:r w:rsidR="00B756F7">
              <w:t>829,843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FF20" w14:textId="0D81A906" w:rsidR="001C4F07" w:rsidRDefault="001C4F07" w:rsidP="001C4F07">
            <w:r>
              <w:t xml:space="preserve">      10,585,475</w:t>
            </w:r>
          </w:p>
        </w:tc>
      </w:tr>
      <w:tr w:rsidR="001C4F07" w14:paraId="760A2BB0" w14:textId="77777777" w:rsidTr="00C6249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460D" w14:textId="77777777" w:rsidR="001C4F07" w:rsidRDefault="001C4F07" w:rsidP="001C4F07">
            <w:r>
              <w:t xml:space="preserve">   Capital lease liability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42F4" w14:textId="77777777" w:rsidR="001C4F07" w:rsidRDefault="001C4F07" w:rsidP="001C4F07">
            <w:r>
              <w:t xml:space="preserve">      9,733,652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6980" w14:textId="180528C1" w:rsidR="001C4F07" w:rsidRDefault="001C4F07" w:rsidP="001C4F07">
            <w:r>
              <w:t xml:space="preserve">      9,733,652</w:t>
            </w:r>
          </w:p>
        </w:tc>
      </w:tr>
      <w:tr w:rsidR="001C4F07" w14:paraId="0371B17B" w14:textId="77777777" w:rsidTr="00C6249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F71E" w14:textId="77777777" w:rsidR="001C4F07" w:rsidRDefault="001C4F07" w:rsidP="001C4F07">
            <w:r>
              <w:t xml:space="preserve">   Actuarial liabilities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4797" w14:textId="77777777" w:rsidR="001C4F07" w:rsidRDefault="001C4F07" w:rsidP="001C4F07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31EA" w14:textId="77777777" w:rsidR="001C4F07" w:rsidRDefault="001C4F07" w:rsidP="001C4F07"/>
        </w:tc>
      </w:tr>
      <w:tr w:rsidR="001C4F07" w14:paraId="3D5C337E" w14:textId="77777777" w:rsidTr="00C6249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7C7F" w14:textId="77777777" w:rsidR="001C4F07" w:rsidRDefault="001C4F07" w:rsidP="001C4F07">
            <w:r>
              <w:t xml:space="preserve">      Annuities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F28C" w14:textId="7F95C803" w:rsidR="001C4F07" w:rsidRDefault="001C4F07" w:rsidP="001C4F07">
            <w:r>
              <w:t xml:space="preserve">      2,</w:t>
            </w:r>
            <w:r w:rsidR="00B756F7">
              <w:t>104,994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B99A" w14:textId="629C1BA6" w:rsidR="001C4F07" w:rsidRDefault="001C4F07" w:rsidP="001C4F07">
            <w:r>
              <w:t xml:space="preserve">      2,127,660</w:t>
            </w:r>
          </w:p>
        </w:tc>
      </w:tr>
      <w:tr w:rsidR="001C4F07" w14:paraId="26472F29" w14:textId="77777777" w:rsidTr="00C6249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4DDB" w14:textId="77777777" w:rsidR="001C4F07" w:rsidRDefault="001C4F07" w:rsidP="001C4F07">
            <w:r>
              <w:t xml:space="preserve">      Charitable remainder trusts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7F4E" w14:textId="6E056A7C" w:rsidR="001C4F07" w:rsidRDefault="001C4F07" w:rsidP="001C4F07">
            <w:pPr>
              <w:rPr>
                <w:u w:val="single"/>
              </w:rPr>
            </w:pPr>
            <w:r>
              <w:rPr>
                <w:u w:val="single"/>
              </w:rPr>
              <w:t xml:space="preserve">      </w:t>
            </w:r>
            <w:r w:rsidR="00B756F7">
              <w:rPr>
                <w:u w:val="single"/>
              </w:rPr>
              <w:t>1,913,761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CEBD" w14:textId="5A0E3AB9" w:rsidR="001C4F07" w:rsidRDefault="001C4F07" w:rsidP="001C4F07">
            <w:pPr>
              <w:rPr>
                <w:u w:val="single"/>
              </w:rPr>
            </w:pPr>
            <w:r>
              <w:t xml:space="preserve">   </w:t>
            </w:r>
            <w:r>
              <w:rPr>
                <w:u w:val="single"/>
              </w:rPr>
              <w:t xml:space="preserve">   2,151,281</w:t>
            </w:r>
          </w:p>
        </w:tc>
      </w:tr>
      <w:tr w:rsidR="001C4F07" w14:paraId="74109152" w14:textId="77777777" w:rsidTr="00C6249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ED2C" w14:textId="77777777" w:rsidR="001C4F07" w:rsidRDefault="001C4F07" w:rsidP="001C4F07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6A14" w14:textId="0BDE9993" w:rsidR="001C4F07" w:rsidRDefault="001C4F07" w:rsidP="001C4F07">
            <w:pPr>
              <w:rPr>
                <w:u w:val="single"/>
              </w:rPr>
            </w:pPr>
            <w:r>
              <w:rPr>
                <w:u w:val="single"/>
              </w:rPr>
              <w:t xml:space="preserve">    </w:t>
            </w:r>
            <w:r w:rsidR="00B756F7">
              <w:rPr>
                <w:u w:val="single"/>
              </w:rPr>
              <w:t>25,061,044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6AD7" w14:textId="7A195EAD" w:rsidR="001C4F07" w:rsidRDefault="001C4F07" w:rsidP="001C4F07">
            <w:pPr>
              <w:rPr>
                <w:u w:val="single"/>
              </w:rPr>
            </w:pPr>
            <w:r>
              <w:t xml:space="preserve">    </w:t>
            </w:r>
            <w:r>
              <w:rPr>
                <w:u w:val="single"/>
              </w:rPr>
              <w:t>24,957,527</w:t>
            </w:r>
          </w:p>
        </w:tc>
      </w:tr>
      <w:tr w:rsidR="001C4F07" w14:paraId="3AEC6D3F" w14:textId="77777777" w:rsidTr="00C6249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E11D" w14:textId="7E13BC36" w:rsidR="001C4F07" w:rsidRPr="00BD2B57" w:rsidRDefault="00BD2B57" w:rsidP="001C4F07">
            <w:pPr>
              <w:rPr>
                <w:b/>
                <w:bCs/>
              </w:rPr>
            </w:pPr>
            <w:r w:rsidRPr="00BD2B57">
              <w:rPr>
                <w:b/>
                <w:bCs/>
              </w:rPr>
              <w:t>Net Assets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E5C9" w14:textId="77777777" w:rsidR="001C4F07" w:rsidRDefault="001C4F07" w:rsidP="001C4F07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1819" w14:textId="77777777" w:rsidR="001C4F07" w:rsidRDefault="001C4F07" w:rsidP="001C4F07"/>
        </w:tc>
      </w:tr>
      <w:tr w:rsidR="001C4F07" w14:paraId="4CCF54D9" w14:textId="77777777" w:rsidTr="00C6249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CE86" w14:textId="0E8E8755" w:rsidR="001C4F07" w:rsidRDefault="001C4F07" w:rsidP="001C4F07">
            <w:r>
              <w:t xml:space="preserve">   </w:t>
            </w:r>
            <w:r w:rsidR="00865BBA">
              <w:t>Without donor restrictions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ACD7" w14:textId="38663F6C" w:rsidR="001C4F07" w:rsidRDefault="001C4F07" w:rsidP="001C4F07">
            <w:r>
              <w:t xml:space="preserve">    </w:t>
            </w:r>
            <w:r w:rsidR="00865BBA">
              <w:t>17,655,615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9CDB" w14:textId="3858232A" w:rsidR="001C4F07" w:rsidRDefault="001C4F07" w:rsidP="001C4F07">
            <w:r>
              <w:t xml:space="preserve">    15,946,480</w:t>
            </w:r>
          </w:p>
        </w:tc>
      </w:tr>
      <w:tr w:rsidR="001C4F07" w14:paraId="2E512665" w14:textId="77777777" w:rsidTr="00C6249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E39D" w14:textId="586AA6D1" w:rsidR="001C4F07" w:rsidRDefault="001C4F07" w:rsidP="001C4F07">
            <w:r>
              <w:t xml:space="preserve">   </w:t>
            </w:r>
            <w:r w:rsidR="00865BBA">
              <w:t>With donor restrictions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EBF4" w14:textId="7E21151C" w:rsidR="001C4F07" w:rsidRDefault="001C4F07" w:rsidP="001C4F07">
            <w:pPr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="00865BBA">
              <w:rPr>
                <w:u w:val="single"/>
              </w:rPr>
              <w:t>203,222,969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DB77" w14:textId="50704558" w:rsidR="001C4F07" w:rsidRDefault="001C4F07" w:rsidP="001C4F07">
            <w:pPr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 xml:space="preserve"> </w:t>
            </w:r>
            <w:r w:rsidR="00865BBA">
              <w:rPr>
                <w:u w:val="single"/>
              </w:rPr>
              <w:t>198,265,326</w:t>
            </w:r>
          </w:p>
        </w:tc>
      </w:tr>
      <w:tr w:rsidR="001C4F07" w14:paraId="6D5A40A9" w14:textId="77777777" w:rsidTr="00C6249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B313" w14:textId="77777777" w:rsidR="001C4F07" w:rsidRDefault="001C4F07" w:rsidP="001C4F07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DD8F" w14:textId="19F38376" w:rsidR="001C4F07" w:rsidRDefault="001C4F07" w:rsidP="001C4F07">
            <w:pPr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="00865BBA">
              <w:rPr>
                <w:u w:val="single"/>
              </w:rPr>
              <w:t>220,878,584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81F4" w14:textId="07C67A3A" w:rsidR="001C4F07" w:rsidRDefault="001C4F07" w:rsidP="001C4F07">
            <w:pPr>
              <w:rPr>
                <w:u w:val="single"/>
              </w:rPr>
            </w:pPr>
            <w:r>
              <w:rPr>
                <w:u w:val="single"/>
              </w:rPr>
              <w:t xml:space="preserve">  214,211,806</w:t>
            </w:r>
          </w:p>
        </w:tc>
      </w:tr>
      <w:tr w:rsidR="001C4F07" w14:paraId="01C5026F" w14:textId="77777777" w:rsidTr="00C6249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7720" w14:textId="77777777" w:rsidR="001C4F07" w:rsidRDefault="001C4F07" w:rsidP="001C4F07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D779" w14:textId="267A1498" w:rsidR="001C4F07" w:rsidRDefault="001C4F07" w:rsidP="001C4F07">
            <w:pPr>
              <w:rPr>
                <w:u w:val="double"/>
              </w:rPr>
            </w:pPr>
            <w:r>
              <w:rPr>
                <w:u w:val="double"/>
              </w:rPr>
              <w:t>$</w:t>
            </w:r>
            <w:r w:rsidR="00865BBA">
              <w:rPr>
                <w:u w:val="double"/>
              </w:rPr>
              <w:t>245,939,628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166D" w14:textId="0EEA966C" w:rsidR="001C4F07" w:rsidRDefault="001C4F07" w:rsidP="001C4F07">
            <w:pPr>
              <w:rPr>
                <w:u w:val="double"/>
              </w:rPr>
            </w:pPr>
            <w:r>
              <w:rPr>
                <w:u w:val="double"/>
              </w:rPr>
              <w:t>$239,169,333</w:t>
            </w:r>
          </w:p>
        </w:tc>
      </w:tr>
    </w:tbl>
    <w:p w14:paraId="20DF9392" w14:textId="065EA9E4" w:rsidR="00D45488" w:rsidRDefault="00D45488" w:rsidP="00D45488">
      <w:pPr>
        <w:rPr>
          <w:rFonts w:ascii="Arial" w:hAnsi="Arial" w:cs="Arial"/>
          <w:sz w:val="24"/>
          <w:szCs w:val="24"/>
        </w:rPr>
      </w:pPr>
    </w:p>
    <w:p w14:paraId="3C2D14D7" w14:textId="5628500A" w:rsidR="00D45488" w:rsidRDefault="00D45488" w:rsidP="00D45488">
      <w:pPr>
        <w:rPr>
          <w:rFonts w:ascii="Arial" w:hAnsi="Arial" w:cs="Arial"/>
          <w:sz w:val="24"/>
          <w:szCs w:val="24"/>
        </w:rPr>
      </w:pPr>
    </w:p>
    <w:p w14:paraId="32D56234" w14:textId="7BE71C8A" w:rsidR="00BD2B57" w:rsidRPr="00BD2B57" w:rsidRDefault="00BD2B57" w:rsidP="00D45488">
      <w:pPr>
        <w:rPr>
          <w:rFonts w:ascii="Arial" w:hAnsi="Arial" w:cs="Arial"/>
          <w:b/>
          <w:bCs/>
          <w:sz w:val="24"/>
          <w:szCs w:val="24"/>
        </w:rPr>
      </w:pPr>
      <w:r w:rsidRPr="00BD2B57">
        <w:rPr>
          <w:rFonts w:ascii="Arial" w:hAnsi="Arial" w:cs="Arial"/>
          <w:b/>
          <w:bCs/>
          <w:sz w:val="24"/>
          <w:szCs w:val="24"/>
        </w:rPr>
        <w:t>Financials</w:t>
      </w:r>
    </w:p>
    <w:p w14:paraId="1B5ACAB3" w14:textId="6E6339FF" w:rsidR="00BD2B57" w:rsidRPr="00BD2B57" w:rsidRDefault="00BD2B57" w:rsidP="00D45488">
      <w:pPr>
        <w:rPr>
          <w:rFonts w:ascii="Arial" w:hAnsi="Arial" w:cs="Arial"/>
          <w:b/>
          <w:bCs/>
          <w:sz w:val="24"/>
          <w:szCs w:val="24"/>
        </w:rPr>
      </w:pPr>
      <w:r w:rsidRPr="00BD2B57">
        <w:rPr>
          <w:rFonts w:ascii="Arial" w:hAnsi="Arial" w:cs="Arial"/>
          <w:b/>
          <w:bCs/>
          <w:sz w:val="24"/>
          <w:szCs w:val="24"/>
        </w:rPr>
        <w:t>FY2018 – 2019</w:t>
      </w:r>
    </w:p>
    <w:p w14:paraId="1F4A4A90" w14:textId="7840348E" w:rsidR="00D45488" w:rsidRPr="00BD2B57" w:rsidRDefault="00BD2B57" w:rsidP="00D4548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S</w:t>
      </w:r>
      <w:r w:rsidRPr="00BD2B57">
        <w:rPr>
          <w:rFonts w:ascii="Arial" w:hAnsi="Arial" w:cs="Arial"/>
          <w:bCs/>
          <w:sz w:val="24"/>
          <w:szCs w:val="24"/>
        </w:rPr>
        <w:t xml:space="preserve">tatement of </w:t>
      </w:r>
      <w:r>
        <w:rPr>
          <w:rFonts w:ascii="Arial" w:hAnsi="Arial" w:cs="Arial"/>
          <w:bCs/>
          <w:sz w:val="24"/>
          <w:szCs w:val="24"/>
        </w:rPr>
        <w:t>A</w:t>
      </w:r>
      <w:r w:rsidRPr="00BD2B57">
        <w:rPr>
          <w:rFonts w:ascii="Arial" w:hAnsi="Arial" w:cs="Arial"/>
          <w:bCs/>
          <w:sz w:val="24"/>
          <w:szCs w:val="24"/>
        </w:rPr>
        <w:t>ctivities</w:t>
      </w:r>
    </w:p>
    <w:p w14:paraId="001B29B8" w14:textId="23FEFF68" w:rsidR="00D45488" w:rsidRPr="00BD2B57" w:rsidRDefault="00BD2B57" w:rsidP="00D4548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</w:t>
      </w:r>
      <w:r w:rsidRPr="00BD2B57">
        <w:rPr>
          <w:rFonts w:ascii="Arial" w:hAnsi="Arial" w:cs="Arial"/>
          <w:bCs/>
          <w:sz w:val="24"/>
          <w:szCs w:val="24"/>
        </w:rPr>
        <w:t xml:space="preserve">ear ended </w:t>
      </w:r>
      <w:r>
        <w:rPr>
          <w:rFonts w:ascii="Arial" w:hAnsi="Arial" w:cs="Arial"/>
          <w:bCs/>
          <w:sz w:val="24"/>
          <w:szCs w:val="24"/>
        </w:rPr>
        <w:t>J</w:t>
      </w:r>
      <w:r w:rsidRPr="00BD2B57">
        <w:rPr>
          <w:rFonts w:ascii="Arial" w:hAnsi="Arial" w:cs="Arial"/>
          <w:bCs/>
          <w:sz w:val="24"/>
          <w:szCs w:val="24"/>
        </w:rPr>
        <w:t>une 30, 2019</w:t>
      </w:r>
    </w:p>
    <w:p w14:paraId="2D1C1C2F" w14:textId="77777777" w:rsidR="00D45488" w:rsidRDefault="00D45488" w:rsidP="00D4548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1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50"/>
        <w:gridCol w:w="1620"/>
        <w:gridCol w:w="1710"/>
        <w:gridCol w:w="1710"/>
      </w:tblGrid>
      <w:tr w:rsidR="00C6249A" w14:paraId="072E9EAF" w14:textId="77777777" w:rsidTr="009E133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1496" w14:textId="77777777" w:rsidR="00C6249A" w:rsidRDefault="00C6249A" w:rsidP="00C6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REVENUE AND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9ABA" w14:textId="2C8A549C" w:rsidR="00C6249A" w:rsidRPr="00592117" w:rsidRDefault="00C6249A" w:rsidP="00C6249A">
            <w:pPr>
              <w:rPr>
                <w:b/>
                <w:bCs/>
                <w:sz w:val="20"/>
                <w:szCs w:val="20"/>
              </w:rPr>
            </w:pPr>
            <w:r w:rsidRPr="00592117">
              <w:rPr>
                <w:b/>
                <w:bCs/>
                <w:sz w:val="20"/>
                <w:szCs w:val="20"/>
              </w:rPr>
              <w:t>Without donor restrictions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2544" w14:textId="27F58086" w:rsidR="00C6249A" w:rsidRPr="00592117" w:rsidRDefault="00C6249A" w:rsidP="00C6249A">
            <w:pPr>
              <w:rPr>
                <w:b/>
                <w:bCs/>
                <w:sz w:val="20"/>
                <w:szCs w:val="20"/>
              </w:rPr>
            </w:pPr>
            <w:r w:rsidRPr="00592117">
              <w:rPr>
                <w:b/>
                <w:bCs/>
                <w:sz w:val="20"/>
                <w:szCs w:val="20"/>
              </w:rPr>
              <w:t>With donor restrictions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637D" w14:textId="77777777" w:rsidR="00C6249A" w:rsidRPr="00592117" w:rsidRDefault="00C6249A" w:rsidP="00C6249A">
            <w:pPr>
              <w:rPr>
                <w:b/>
                <w:bCs/>
                <w:sz w:val="20"/>
                <w:szCs w:val="20"/>
              </w:rPr>
            </w:pPr>
            <w:r w:rsidRPr="00592117">
              <w:rPr>
                <w:b/>
                <w:bCs/>
                <w:sz w:val="20"/>
                <w:szCs w:val="20"/>
              </w:rPr>
              <w:t xml:space="preserve">      Total</w:t>
            </w:r>
          </w:p>
        </w:tc>
      </w:tr>
      <w:tr w:rsidR="00C6249A" w14:paraId="1CE9A367" w14:textId="77777777" w:rsidTr="009E133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652F" w14:textId="77777777" w:rsidR="00C6249A" w:rsidRPr="00592117" w:rsidRDefault="00C6249A" w:rsidP="00C6249A">
            <w:pPr>
              <w:rPr>
                <w:b/>
                <w:bCs/>
              </w:rPr>
            </w:pPr>
            <w:r w:rsidRPr="00592117">
              <w:rPr>
                <w:b/>
                <w:bCs/>
              </w:rPr>
              <w:t>Gifts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8C19" w14:textId="77777777" w:rsidR="00C6249A" w:rsidRDefault="00C6249A" w:rsidP="00C6249A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D3EC" w14:textId="77777777" w:rsidR="00C6249A" w:rsidRDefault="00C6249A" w:rsidP="00C6249A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EE9B" w14:textId="77777777" w:rsidR="00C6249A" w:rsidRDefault="00C6249A" w:rsidP="00C6249A"/>
        </w:tc>
      </w:tr>
      <w:tr w:rsidR="00C6249A" w14:paraId="4135C3E6" w14:textId="77777777" w:rsidTr="009E133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59E5" w14:textId="77777777" w:rsidR="00C6249A" w:rsidRDefault="00C6249A" w:rsidP="00C6249A">
            <w:r>
              <w:t xml:space="preserve">   Cash and securities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77DC" w14:textId="1012F98F" w:rsidR="00C6249A" w:rsidRDefault="00C6249A" w:rsidP="00C6249A">
            <w:r>
              <w:t>$47,880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E526" w14:textId="6D6386DA" w:rsidR="00C6249A" w:rsidRDefault="00C6249A" w:rsidP="00C6249A">
            <w:r>
              <w:t>$18,516,313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B586" w14:textId="75E83655" w:rsidR="00C6249A" w:rsidRDefault="00C6249A" w:rsidP="00C6249A">
            <w:r>
              <w:t>$18,564,193</w:t>
            </w:r>
          </w:p>
        </w:tc>
      </w:tr>
      <w:tr w:rsidR="00C6249A" w14:paraId="6338A927" w14:textId="77777777" w:rsidTr="009E133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2FE3" w14:textId="77777777" w:rsidR="00C6249A" w:rsidRDefault="00C6249A" w:rsidP="00C6249A">
            <w:r>
              <w:t xml:space="preserve">   Net change in pledges receivable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EF6E" w14:textId="77777777" w:rsidR="00C6249A" w:rsidRDefault="00C6249A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       -____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41DA" w14:textId="23267067" w:rsidR="00C6249A" w:rsidRDefault="00C6249A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    (430,145)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0D0E" w14:textId="16721A75" w:rsidR="00C6249A" w:rsidRDefault="00C6249A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    (430,145)</w:t>
            </w:r>
          </w:p>
        </w:tc>
      </w:tr>
      <w:tr w:rsidR="00C6249A" w14:paraId="4C2D9CAD" w14:textId="77777777" w:rsidTr="009E133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198F" w14:textId="77777777" w:rsidR="00C6249A" w:rsidRDefault="00C6249A" w:rsidP="00C6249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3501" w14:textId="6991B0CA" w:rsidR="00C6249A" w:rsidRDefault="00C6249A" w:rsidP="00C6249A">
            <w:r>
              <w:t xml:space="preserve">  47,880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E589" w14:textId="24FF7121" w:rsidR="00C6249A" w:rsidRDefault="00C6249A" w:rsidP="00C6249A">
            <w:r>
              <w:t xml:space="preserve">  18,086,168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7FE0" w14:textId="7A4B6F63" w:rsidR="00C6249A" w:rsidRDefault="00C6249A" w:rsidP="00C6249A">
            <w:r>
              <w:t xml:space="preserve">  18,134,048</w:t>
            </w:r>
          </w:p>
        </w:tc>
      </w:tr>
      <w:tr w:rsidR="00C6249A" w14:paraId="210A796E" w14:textId="77777777" w:rsidTr="009E133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6CB2" w14:textId="77777777" w:rsidR="00C6249A" w:rsidRDefault="00C6249A" w:rsidP="00C6249A">
            <w:r>
              <w:t xml:space="preserve">   Losses on pledges receivable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A5F5" w14:textId="77777777" w:rsidR="00C6249A" w:rsidRDefault="00C6249A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     -_____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E8D1" w14:textId="18DCC5C3" w:rsidR="00C6249A" w:rsidRDefault="00C6249A" w:rsidP="00C6249A">
            <w:r>
              <w:t xml:space="preserve">     (896,579)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72DE" w14:textId="12F3F681" w:rsidR="00C6249A" w:rsidRDefault="00C6249A" w:rsidP="00C6249A">
            <w:r>
              <w:t xml:space="preserve">     (896,579)</w:t>
            </w:r>
          </w:p>
        </w:tc>
      </w:tr>
      <w:tr w:rsidR="00C6249A" w14:paraId="566BCD26" w14:textId="77777777" w:rsidTr="009E133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2F14" w14:textId="77777777" w:rsidR="00C6249A" w:rsidRDefault="00C6249A" w:rsidP="00C6249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DBFF" w14:textId="290FECA5" w:rsidR="00C6249A" w:rsidRDefault="00C6249A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 47,880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EE95" w14:textId="443958CF" w:rsidR="00C6249A" w:rsidRDefault="00C6249A" w:rsidP="00C6249A">
            <w:pPr>
              <w:rPr>
                <w:u w:val="single"/>
              </w:rPr>
            </w:pPr>
            <w:r>
              <w:t xml:space="preserve">  </w:t>
            </w:r>
            <w:r>
              <w:rPr>
                <w:u w:val="single"/>
              </w:rPr>
              <w:t>17,189,589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94AE" w14:textId="71C5F2A2" w:rsidR="00C6249A" w:rsidRDefault="00C6249A" w:rsidP="00C6249A">
            <w:pPr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>17,237,469</w:t>
            </w:r>
          </w:p>
        </w:tc>
      </w:tr>
      <w:tr w:rsidR="00C6249A" w14:paraId="5E90DAA7" w14:textId="77777777" w:rsidTr="009E133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00E7" w14:textId="77777777" w:rsidR="00C6249A" w:rsidRPr="00592117" w:rsidRDefault="00C6249A" w:rsidP="00C6249A">
            <w:pPr>
              <w:rPr>
                <w:b/>
                <w:bCs/>
              </w:rPr>
            </w:pPr>
            <w:r w:rsidRPr="00592117">
              <w:rPr>
                <w:b/>
                <w:bCs/>
              </w:rPr>
              <w:t>Net investment income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4615" w14:textId="77777777" w:rsidR="00C6249A" w:rsidRDefault="00C6249A" w:rsidP="00C6249A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9C30" w14:textId="77777777" w:rsidR="00C6249A" w:rsidRDefault="00C6249A" w:rsidP="00C6249A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A81B" w14:textId="77777777" w:rsidR="00C6249A" w:rsidRDefault="00C6249A" w:rsidP="00C6249A"/>
        </w:tc>
      </w:tr>
      <w:tr w:rsidR="00C6249A" w14:paraId="78D9ABE0" w14:textId="77777777" w:rsidTr="009E133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1BC2" w14:textId="77777777" w:rsidR="00C6249A" w:rsidRDefault="00C6249A" w:rsidP="00C6249A">
            <w:r>
              <w:t xml:space="preserve">   Securities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D6F6" w14:textId="195BA83E" w:rsidR="00C6249A" w:rsidRDefault="00C6249A" w:rsidP="00C6249A">
            <w:r>
              <w:t xml:space="preserve"> </w:t>
            </w:r>
            <w:r w:rsidR="00754F13">
              <w:t xml:space="preserve">  </w:t>
            </w:r>
            <w:r>
              <w:t>891,104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0E33" w14:textId="3EA511A7" w:rsidR="00C6249A" w:rsidRDefault="00C6249A" w:rsidP="00C6249A">
            <w:r>
              <w:t xml:space="preserve">     4,847,340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A6E0" w14:textId="719DE012" w:rsidR="00C6249A" w:rsidRDefault="00C6249A" w:rsidP="00C6249A">
            <w:r>
              <w:t xml:space="preserve"> </w:t>
            </w:r>
            <w:r w:rsidR="00754F13">
              <w:t xml:space="preserve">  5,738,444</w:t>
            </w:r>
          </w:p>
        </w:tc>
      </w:tr>
      <w:tr w:rsidR="00C6249A" w14:paraId="58B8331F" w14:textId="77777777" w:rsidTr="009E133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9BAC" w14:textId="77777777" w:rsidR="00C6249A" w:rsidRDefault="00C6249A" w:rsidP="00C6249A">
            <w:r>
              <w:t xml:space="preserve">   Investment pool operator fee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F386" w14:textId="36821E87" w:rsidR="00C6249A" w:rsidRDefault="00C6249A" w:rsidP="00C6249A">
            <w:r>
              <w:t>1,</w:t>
            </w:r>
            <w:r w:rsidR="00754F13">
              <w:t>805,213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E5EC" w14:textId="13E48B98" w:rsidR="00C6249A" w:rsidRDefault="00754F13" w:rsidP="00C6249A">
            <w:r>
              <w:t xml:space="preserve">  (1,805,213)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4B94" w14:textId="77777777" w:rsidR="00C6249A" w:rsidRDefault="00C6249A" w:rsidP="00C6249A">
            <w:r>
              <w:t xml:space="preserve">         -</w:t>
            </w:r>
          </w:p>
        </w:tc>
      </w:tr>
      <w:tr w:rsidR="00C6249A" w14:paraId="40A3B539" w14:textId="77777777" w:rsidTr="009E133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1B9B" w14:textId="48FC0927" w:rsidR="00C6249A" w:rsidRDefault="00592117" w:rsidP="00C6249A">
            <w:r>
              <w:t xml:space="preserve">  </w:t>
            </w:r>
            <w:r w:rsidR="00C6249A">
              <w:t>Service fee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E000" w14:textId="477BF3CB" w:rsidR="00C6249A" w:rsidRPr="005E14AA" w:rsidRDefault="00C6249A" w:rsidP="00C6249A">
            <w:r w:rsidRPr="005E14AA">
              <w:t xml:space="preserve">   </w:t>
            </w:r>
            <w:r w:rsidR="00754F13">
              <w:t>479,526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944E" w14:textId="77777777" w:rsidR="00C6249A" w:rsidRDefault="00C6249A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         -____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32D4" w14:textId="671ED19C" w:rsidR="00C6249A" w:rsidRDefault="00C6249A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      </w:t>
            </w:r>
            <w:r w:rsidR="00754F13">
              <w:rPr>
                <w:u w:val="single"/>
              </w:rPr>
              <w:t>479,526</w:t>
            </w:r>
            <w:r>
              <w:rPr>
                <w:u w:val="single"/>
              </w:rPr>
              <w:t xml:space="preserve">  </w:t>
            </w:r>
          </w:p>
        </w:tc>
      </w:tr>
      <w:tr w:rsidR="00C6249A" w14:paraId="7590CD08" w14:textId="77777777" w:rsidTr="009E133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2D1D" w14:textId="4E3C1FDD" w:rsidR="00C6249A" w:rsidRDefault="00592117" w:rsidP="00C6249A">
            <w:r>
              <w:t xml:space="preserve">  </w:t>
            </w:r>
            <w:r w:rsidR="00C6249A">
              <w:t>Investment in Hotel and Conference Center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9078" w14:textId="459112B8" w:rsidR="00C6249A" w:rsidRDefault="00C6249A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  </w:t>
            </w:r>
            <w:r w:rsidR="00754F13">
              <w:rPr>
                <w:u w:val="single"/>
              </w:rPr>
              <w:t>868,113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FBD1" w14:textId="77777777" w:rsidR="00C6249A" w:rsidRDefault="00C6249A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        -_____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4258" w14:textId="5CF06F10" w:rsidR="00C6249A" w:rsidRDefault="00C6249A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      </w:t>
            </w:r>
            <w:r w:rsidR="00754F13">
              <w:rPr>
                <w:u w:val="single"/>
              </w:rPr>
              <w:t>868,113</w:t>
            </w:r>
          </w:p>
        </w:tc>
      </w:tr>
      <w:tr w:rsidR="00C6249A" w14:paraId="7AFFBDEB" w14:textId="77777777" w:rsidTr="009E133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AC68" w14:textId="77777777" w:rsidR="00C6249A" w:rsidRDefault="00C6249A" w:rsidP="00C6249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FF67" w14:textId="368750A5" w:rsidR="00C6249A" w:rsidRDefault="00754F13" w:rsidP="00C6249A">
            <w:pPr>
              <w:rPr>
                <w:u w:val="single"/>
              </w:rPr>
            </w:pPr>
            <w:r>
              <w:rPr>
                <w:u w:val="single"/>
              </w:rPr>
              <w:t>4,043,956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22D9" w14:textId="7F2B6F49" w:rsidR="00C6249A" w:rsidRDefault="0082199D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754F13">
              <w:rPr>
                <w:u w:val="single"/>
              </w:rPr>
              <w:t>3,042,127</w:t>
            </w:r>
            <w:r w:rsidR="00C6249A">
              <w:rPr>
                <w:u w:val="single"/>
              </w:rPr>
              <w:t>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C33D" w14:textId="47277351" w:rsidR="00C6249A" w:rsidRDefault="00C6249A" w:rsidP="00C6249A">
            <w:pPr>
              <w:rPr>
                <w:u w:val="single"/>
              </w:rPr>
            </w:pPr>
            <w:r>
              <w:t xml:space="preserve">  </w:t>
            </w:r>
            <w:r w:rsidR="00754F13">
              <w:t xml:space="preserve">  </w:t>
            </w:r>
            <w:r w:rsidR="00754F13">
              <w:rPr>
                <w:u w:val="single"/>
              </w:rPr>
              <w:t>7,086,083</w:t>
            </w:r>
          </w:p>
        </w:tc>
      </w:tr>
      <w:tr w:rsidR="00C6249A" w14:paraId="2D29546A" w14:textId="77777777" w:rsidTr="009E133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DA81" w14:textId="77777777" w:rsidR="00C6249A" w:rsidRDefault="00C6249A" w:rsidP="00C6249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63B4" w14:textId="77777777" w:rsidR="00C6249A" w:rsidRDefault="00C6249A" w:rsidP="00C6249A">
            <w:pPr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E9D3" w14:textId="77777777" w:rsidR="00C6249A" w:rsidRDefault="00C6249A" w:rsidP="00C6249A">
            <w:pPr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473A" w14:textId="77777777" w:rsidR="00C6249A" w:rsidRDefault="00C6249A" w:rsidP="00C6249A"/>
        </w:tc>
      </w:tr>
      <w:tr w:rsidR="00C6249A" w14:paraId="5B1A98C8" w14:textId="77777777" w:rsidTr="009E133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1FE8" w14:textId="77777777" w:rsidR="00C6249A" w:rsidRDefault="00C6249A" w:rsidP="00C6249A">
            <w:r>
              <w:t>Sales, services, events and other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C000" w14:textId="654060A6" w:rsidR="00C6249A" w:rsidRDefault="00C6249A" w:rsidP="00C6249A">
            <w:r>
              <w:t xml:space="preserve">     </w:t>
            </w:r>
            <w:r w:rsidR="0082199D">
              <w:t>13,918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5D8B" w14:textId="40594C57" w:rsidR="00C6249A" w:rsidRDefault="00C6249A" w:rsidP="00C6249A">
            <w:r>
              <w:t xml:space="preserve">   </w:t>
            </w:r>
            <w:r w:rsidR="0082199D">
              <w:t xml:space="preserve"> 140,289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5FA8" w14:textId="381EDFBD" w:rsidR="00C6249A" w:rsidRDefault="00C6249A" w:rsidP="00C6249A">
            <w:r>
              <w:t xml:space="preserve">        </w:t>
            </w:r>
            <w:r w:rsidR="0082199D">
              <w:t>154,207</w:t>
            </w:r>
          </w:p>
        </w:tc>
      </w:tr>
      <w:tr w:rsidR="00C6249A" w14:paraId="343893A6" w14:textId="77777777" w:rsidTr="009E133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0819" w14:textId="77777777" w:rsidR="00C6249A" w:rsidRDefault="00C6249A" w:rsidP="00C6249A">
            <w:r>
              <w:t>Changes in designation of prior contributions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7FF2" w14:textId="5F1EF424" w:rsidR="00C6249A" w:rsidRDefault="00C6249A" w:rsidP="00C6249A">
            <w:r>
              <w:t xml:space="preserve">  (</w:t>
            </w:r>
            <w:r w:rsidR="0082199D">
              <w:t>166,684</w:t>
            </w:r>
            <w: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A197" w14:textId="483333BA" w:rsidR="00C6249A" w:rsidRDefault="0082199D" w:rsidP="00C6249A">
            <w:r>
              <w:t xml:space="preserve">    166,684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0D92" w14:textId="77777777" w:rsidR="00C6249A" w:rsidRDefault="00C6249A" w:rsidP="00C6249A">
            <w:r>
              <w:t xml:space="preserve">         -</w:t>
            </w:r>
          </w:p>
        </w:tc>
      </w:tr>
      <w:tr w:rsidR="00C6249A" w14:paraId="04821328" w14:textId="77777777" w:rsidTr="009E133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1993" w14:textId="77777777" w:rsidR="00C6249A" w:rsidRDefault="00C6249A" w:rsidP="00C6249A">
            <w:r>
              <w:t>Change in actuarial liabilities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072E" w14:textId="1064E835" w:rsidR="00C6249A" w:rsidRDefault="0082199D" w:rsidP="00C6249A">
            <w:r>
              <w:t xml:space="preserve">          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04B7" w14:textId="7D1AAAEF" w:rsidR="00C6249A" w:rsidRDefault="0082199D" w:rsidP="00C6249A">
            <w:r>
              <w:t xml:space="preserve">    (34,188)</w:t>
            </w:r>
            <w:r w:rsidR="00C6249A">
              <w:t xml:space="preserve">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C99A" w14:textId="38A256A9" w:rsidR="00C6249A" w:rsidRDefault="0082199D" w:rsidP="00C6249A">
            <w:r>
              <w:t xml:space="preserve">        (34,188)</w:t>
            </w:r>
          </w:p>
        </w:tc>
      </w:tr>
      <w:tr w:rsidR="00C6249A" w14:paraId="3338509A" w14:textId="77777777" w:rsidTr="009E133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A2D3" w14:textId="77777777" w:rsidR="00C6249A" w:rsidRDefault="00C6249A" w:rsidP="00C6249A">
            <w:r>
              <w:t>Release of restrictions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4274" w14:textId="74DC02FD" w:rsidR="00C6249A" w:rsidRDefault="0082199D" w:rsidP="00C6249A">
            <w:pPr>
              <w:rPr>
                <w:u w:val="single"/>
              </w:rPr>
            </w:pPr>
            <w:r>
              <w:rPr>
                <w:u w:val="single"/>
              </w:rPr>
              <w:t>15,546,859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D333" w14:textId="6B855A79" w:rsidR="00C6249A" w:rsidRDefault="0082199D" w:rsidP="00C6249A">
            <w:pPr>
              <w:rPr>
                <w:u w:val="single"/>
              </w:rPr>
            </w:pPr>
            <w:r>
              <w:rPr>
                <w:u w:val="single"/>
              </w:rPr>
              <w:t>(15,546,859)</w:t>
            </w:r>
            <w:r w:rsidR="00C6249A">
              <w:rPr>
                <w:u w:val="single"/>
              </w:rPr>
              <w:t xml:space="preserve">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3CAC" w14:textId="77777777" w:rsidR="00C6249A" w:rsidRDefault="00C6249A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         -</w:t>
            </w:r>
          </w:p>
        </w:tc>
      </w:tr>
      <w:tr w:rsidR="00C6249A" w14:paraId="0B7A5335" w14:textId="77777777" w:rsidTr="009E133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EDAE" w14:textId="77777777" w:rsidR="00C6249A" w:rsidRDefault="00C6249A" w:rsidP="00C6249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D57F" w14:textId="67F2B8E6" w:rsidR="00C6249A" w:rsidRDefault="00C6249A" w:rsidP="00C6249A">
            <w:pPr>
              <w:rPr>
                <w:u w:val="single"/>
              </w:rPr>
            </w:pPr>
            <w:r>
              <w:rPr>
                <w:u w:val="single"/>
              </w:rPr>
              <w:t>19,</w:t>
            </w:r>
            <w:r w:rsidR="0082199D">
              <w:rPr>
                <w:u w:val="single"/>
              </w:rPr>
              <w:t>485,929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DCEF" w14:textId="5FD5B49E" w:rsidR="00C6249A" w:rsidRDefault="0082199D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  </w:t>
            </w:r>
            <w:r w:rsidR="00C6249A">
              <w:rPr>
                <w:u w:val="single"/>
              </w:rPr>
              <w:t>4,</w:t>
            </w:r>
            <w:r>
              <w:rPr>
                <w:u w:val="single"/>
              </w:rPr>
              <w:t>957,642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7E76" w14:textId="3AF814AC" w:rsidR="00C6249A" w:rsidRDefault="00C6249A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82199D">
              <w:rPr>
                <w:u w:val="single"/>
              </w:rPr>
              <w:t xml:space="preserve"> 24,443,571</w:t>
            </w:r>
          </w:p>
        </w:tc>
      </w:tr>
      <w:tr w:rsidR="00C6249A" w14:paraId="26EA2178" w14:textId="77777777" w:rsidTr="009E133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BFAA" w14:textId="77777777" w:rsidR="00C6249A" w:rsidRDefault="00C6249A" w:rsidP="00C6249A">
            <w:pPr>
              <w:rPr>
                <w:b/>
              </w:rPr>
            </w:pPr>
            <w:r>
              <w:rPr>
                <w:b/>
              </w:rPr>
              <w:t xml:space="preserve">EXPENSES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CB6D" w14:textId="77777777" w:rsidR="00C6249A" w:rsidRDefault="00C6249A" w:rsidP="00C6249A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BD7A" w14:textId="77777777" w:rsidR="00C6249A" w:rsidRDefault="00C6249A" w:rsidP="00C6249A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D6DA" w14:textId="77777777" w:rsidR="00C6249A" w:rsidRDefault="00C6249A" w:rsidP="00C6249A"/>
        </w:tc>
      </w:tr>
      <w:tr w:rsidR="00C6249A" w14:paraId="6DD3EF21" w14:textId="77777777" w:rsidTr="009E133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BBE0" w14:textId="77777777" w:rsidR="00C6249A" w:rsidRDefault="00C6249A" w:rsidP="00C6249A">
            <w:r>
              <w:t>Grants for Kent State University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84ED" w14:textId="20E97772" w:rsidR="00C6249A" w:rsidRDefault="0082199D" w:rsidP="00C6249A">
            <w:r>
              <w:t>16,739,025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A29B" w14:textId="77777777" w:rsidR="00C6249A" w:rsidRDefault="00C6249A" w:rsidP="00C6249A">
            <w:r>
              <w:t xml:space="preserve">       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F425" w14:textId="00310B16" w:rsidR="00C6249A" w:rsidRDefault="0082199D" w:rsidP="00C6249A">
            <w:r>
              <w:t>16,739,025</w:t>
            </w:r>
          </w:p>
        </w:tc>
      </w:tr>
      <w:tr w:rsidR="00C6249A" w14:paraId="0A5F10DC" w14:textId="77777777" w:rsidTr="009E133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ADF6" w14:textId="77777777" w:rsidR="00C6249A" w:rsidRDefault="00C6249A" w:rsidP="00C6249A">
            <w:r>
              <w:t>Administration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B992" w14:textId="4D46ACDF" w:rsidR="00C6249A" w:rsidRDefault="00C6249A" w:rsidP="00C6249A">
            <w:pPr>
              <w:rPr>
                <w:u w:val="single"/>
              </w:rPr>
            </w:pPr>
            <w:r>
              <w:t xml:space="preserve">  </w:t>
            </w:r>
            <w:r>
              <w:rPr>
                <w:u w:val="single"/>
              </w:rPr>
              <w:t>1,</w:t>
            </w:r>
            <w:r w:rsidR="0082199D">
              <w:rPr>
                <w:u w:val="single"/>
              </w:rPr>
              <w:t>037,768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1B01" w14:textId="77777777" w:rsidR="00C6249A" w:rsidRDefault="00C6249A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      -_____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CE75" w14:textId="1BC66D97" w:rsidR="00C6249A" w:rsidRDefault="00C6249A" w:rsidP="00C6249A">
            <w:pPr>
              <w:rPr>
                <w:u w:val="single"/>
              </w:rPr>
            </w:pPr>
            <w:r>
              <w:t xml:space="preserve">  </w:t>
            </w:r>
            <w:r>
              <w:rPr>
                <w:u w:val="single"/>
              </w:rPr>
              <w:t>1,</w:t>
            </w:r>
            <w:r w:rsidR="0082199D">
              <w:rPr>
                <w:u w:val="single"/>
              </w:rPr>
              <w:t>037,768</w:t>
            </w:r>
          </w:p>
        </w:tc>
      </w:tr>
      <w:tr w:rsidR="00C6249A" w14:paraId="198017D9" w14:textId="77777777" w:rsidTr="009E133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7DCB" w14:textId="77777777" w:rsidR="00C6249A" w:rsidRDefault="00C6249A" w:rsidP="00C6249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C598" w14:textId="71BB8C14" w:rsidR="00C6249A" w:rsidRDefault="0082199D" w:rsidP="00C6249A">
            <w:pPr>
              <w:rPr>
                <w:u w:val="single"/>
              </w:rPr>
            </w:pPr>
            <w:r>
              <w:rPr>
                <w:u w:val="single"/>
              </w:rPr>
              <w:t>17,776,793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1AD3" w14:textId="77777777" w:rsidR="00C6249A" w:rsidRDefault="00C6249A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      -_____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D68F" w14:textId="30530540" w:rsidR="00C6249A" w:rsidRDefault="0082199D" w:rsidP="00C6249A">
            <w:pPr>
              <w:rPr>
                <w:u w:val="single"/>
              </w:rPr>
            </w:pPr>
            <w:r>
              <w:rPr>
                <w:u w:val="single"/>
              </w:rPr>
              <w:t>17,776,793</w:t>
            </w:r>
          </w:p>
        </w:tc>
      </w:tr>
      <w:tr w:rsidR="00C6249A" w14:paraId="74C90816" w14:textId="77777777" w:rsidTr="009E133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A8E3" w14:textId="77777777" w:rsidR="00C6249A" w:rsidRDefault="00C6249A" w:rsidP="00C6249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EA1F" w14:textId="77777777" w:rsidR="00C6249A" w:rsidRDefault="00C6249A" w:rsidP="00C6249A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0E9D" w14:textId="77777777" w:rsidR="00C6249A" w:rsidRDefault="00C6249A" w:rsidP="00C6249A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8555" w14:textId="77777777" w:rsidR="00C6249A" w:rsidRDefault="00C6249A" w:rsidP="00C6249A"/>
        </w:tc>
      </w:tr>
      <w:tr w:rsidR="00C6249A" w14:paraId="6F21EE9B" w14:textId="77777777" w:rsidTr="009E133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17A5" w14:textId="40BCF480" w:rsidR="00C6249A" w:rsidRDefault="00592117" w:rsidP="00C6249A">
            <w:pPr>
              <w:rPr>
                <w:b/>
              </w:rPr>
            </w:pPr>
            <w:r w:rsidRPr="00E615CB">
              <w:rPr>
                <w:b/>
              </w:rPr>
              <w:t>CHANGE IN NET ASSETS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0542" w14:textId="7246D21F" w:rsidR="00C6249A" w:rsidRDefault="00C6249A" w:rsidP="00C6249A">
            <w:r>
              <w:t xml:space="preserve"> </w:t>
            </w:r>
            <w:r w:rsidR="009E1330">
              <w:t>1,709,136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C740" w14:textId="110B5C53" w:rsidR="00C6249A" w:rsidRDefault="00C6249A" w:rsidP="00C6249A">
            <w:r w:rsidRPr="007C4A86">
              <w:t xml:space="preserve">  </w:t>
            </w:r>
            <w:r w:rsidR="009E1330">
              <w:t>4,957,642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E213" w14:textId="3661D0C8" w:rsidR="00C6249A" w:rsidRDefault="009E1330" w:rsidP="00C6249A">
            <w:r>
              <w:t xml:space="preserve">  6,666,778</w:t>
            </w:r>
          </w:p>
        </w:tc>
      </w:tr>
      <w:tr w:rsidR="00C6249A" w14:paraId="62DAC6E3" w14:textId="77777777" w:rsidTr="009E133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AC52" w14:textId="3709E8D2" w:rsidR="00C6249A" w:rsidRPr="00E615CB" w:rsidRDefault="00592117" w:rsidP="00C6249A">
            <w:pPr>
              <w:rPr>
                <w:b/>
              </w:rPr>
            </w:pPr>
            <w:r w:rsidRPr="00E615CB">
              <w:rPr>
                <w:b/>
              </w:rPr>
              <w:t>NET ASSETS AT BEGINNING OF YEAR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6A94" w14:textId="519032F8" w:rsidR="00C6249A" w:rsidRDefault="00C6249A" w:rsidP="00C6249A">
            <w:r>
              <w:t xml:space="preserve"> </w:t>
            </w:r>
            <w:r w:rsidR="009E1330">
              <w:rPr>
                <w:u w:val="single"/>
              </w:rPr>
              <w:t>15,946,480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E4B1" w14:textId="49FA3E24" w:rsidR="00C6249A" w:rsidRDefault="009E1330" w:rsidP="00C6249A">
            <w:pPr>
              <w:rPr>
                <w:u w:val="single"/>
              </w:rPr>
            </w:pPr>
            <w:r>
              <w:rPr>
                <w:u w:val="single"/>
              </w:rPr>
              <w:t>198,265,326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522F" w14:textId="38F7E281" w:rsidR="00C6249A" w:rsidRDefault="009E1330" w:rsidP="00C6249A">
            <w:pPr>
              <w:rPr>
                <w:u w:val="single"/>
              </w:rPr>
            </w:pPr>
            <w:r>
              <w:rPr>
                <w:u w:val="single"/>
              </w:rPr>
              <w:t>214,211,806</w:t>
            </w:r>
          </w:p>
        </w:tc>
      </w:tr>
      <w:tr w:rsidR="00C6249A" w14:paraId="361ABEBA" w14:textId="77777777" w:rsidTr="009E133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EF4B" w14:textId="2D4FB6B2" w:rsidR="00C6249A" w:rsidRPr="00E615CB" w:rsidRDefault="00592117" w:rsidP="00C6249A">
            <w:pPr>
              <w:rPr>
                <w:b/>
              </w:rPr>
            </w:pPr>
            <w:r>
              <w:rPr>
                <w:b/>
              </w:rPr>
              <w:t>NET ASSETS AT END OF YEAR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019D" w14:textId="4EC5549A" w:rsidR="00C6249A" w:rsidRDefault="00C6249A" w:rsidP="00C6249A">
            <w:r>
              <w:rPr>
                <w:u w:val="double"/>
              </w:rPr>
              <w:t>$</w:t>
            </w:r>
            <w:r w:rsidR="009E1330">
              <w:rPr>
                <w:u w:val="double"/>
              </w:rPr>
              <w:t>17,655,616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57AF" w14:textId="6D2D9D5B" w:rsidR="00C6249A" w:rsidRPr="007C4A86" w:rsidRDefault="00C6249A" w:rsidP="00C6249A">
            <w:r>
              <w:rPr>
                <w:u w:val="double"/>
              </w:rPr>
              <w:t>$</w:t>
            </w:r>
            <w:r w:rsidR="009E1330">
              <w:rPr>
                <w:u w:val="double"/>
              </w:rPr>
              <w:t>203,222,968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C797" w14:textId="62EC11A0" w:rsidR="00C6249A" w:rsidRPr="005C138B" w:rsidRDefault="00C6249A" w:rsidP="00C6249A">
            <w:r>
              <w:rPr>
                <w:u w:val="double"/>
              </w:rPr>
              <w:t>$</w:t>
            </w:r>
            <w:r w:rsidR="009E1330">
              <w:rPr>
                <w:u w:val="double"/>
              </w:rPr>
              <w:t>220,878,584</w:t>
            </w:r>
          </w:p>
        </w:tc>
      </w:tr>
    </w:tbl>
    <w:p w14:paraId="2AC54977" w14:textId="77777777" w:rsidR="00A24AC1" w:rsidRDefault="00A24AC1" w:rsidP="00D45488">
      <w:pPr>
        <w:rPr>
          <w:rFonts w:ascii="Arial" w:hAnsi="Arial" w:cs="Arial"/>
          <w:b/>
          <w:sz w:val="24"/>
          <w:szCs w:val="24"/>
        </w:rPr>
      </w:pPr>
    </w:p>
    <w:p w14:paraId="35D45733" w14:textId="022C0951" w:rsidR="00B37666" w:rsidRDefault="00B37666" w:rsidP="00D454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Financials</w:t>
      </w:r>
    </w:p>
    <w:p w14:paraId="6E6E27AA" w14:textId="212B9F93" w:rsidR="00B37666" w:rsidRDefault="00B37666" w:rsidP="00D454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FY 2018 - 2019</w:t>
      </w:r>
    </w:p>
    <w:p w14:paraId="41AA9CAE" w14:textId="4DB42C96" w:rsidR="00D45488" w:rsidRPr="00B37666" w:rsidRDefault="00B37666" w:rsidP="00D4548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Pr="00B37666">
        <w:rPr>
          <w:rFonts w:ascii="Arial" w:hAnsi="Arial" w:cs="Arial"/>
          <w:bCs/>
          <w:sz w:val="24"/>
          <w:szCs w:val="24"/>
        </w:rPr>
        <w:t xml:space="preserve">tatement of </w:t>
      </w:r>
      <w:r>
        <w:rPr>
          <w:rFonts w:ascii="Arial" w:hAnsi="Arial" w:cs="Arial"/>
          <w:bCs/>
          <w:sz w:val="24"/>
          <w:szCs w:val="24"/>
        </w:rPr>
        <w:t>A</w:t>
      </w:r>
      <w:r w:rsidRPr="00B37666">
        <w:rPr>
          <w:rFonts w:ascii="Arial" w:hAnsi="Arial" w:cs="Arial"/>
          <w:bCs/>
          <w:sz w:val="24"/>
          <w:szCs w:val="24"/>
        </w:rPr>
        <w:t>ctivities</w:t>
      </w:r>
    </w:p>
    <w:p w14:paraId="49499FA5" w14:textId="58EAD414" w:rsidR="00D45488" w:rsidRPr="00B37666" w:rsidRDefault="00B37666" w:rsidP="00D4548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</w:t>
      </w:r>
      <w:r w:rsidRPr="00B37666">
        <w:rPr>
          <w:rFonts w:ascii="Arial" w:hAnsi="Arial" w:cs="Arial"/>
          <w:bCs/>
          <w:sz w:val="24"/>
          <w:szCs w:val="24"/>
        </w:rPr>
        <w:t xml:space="preserve">ear ended </w:t>
      </w:r>
      <w:r>
        <w:rPr>
          <w:rFonts w:ascii="Arial" w:hAnsi="Arial" w:cs="Arial"/>
          <w:bCs/>
          <w:sz w:val="24"/>
          <w:szCs w:val="24"/>
        </w:rPr>
        <w:t>J</w:t>
      </w:r>
      <w:r w:rsidRPr="00B37666">
        <w:rPr>
          <w:rFonts w:ascii="Arial" w:hAnsi="Arial" w:cs="Arial"/>
          <w:bCs/>
          <w:sz w:val="24"/>
          <w:szCs w:val="24"/>
        </w:rPr>
        <w:t>une 30, 2018</w:t>
      </w:r>
    </w:p>
    <w:p w14:paraId="287E4E04" w14:textId="77777777" w:rsidR="00D45488" w:rsidRDefault="00D45488" w:rsidP="00D45488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63"/>
        <w:gridCol w:w="1866"/>
        <w:gridCol w:w="2111"/>
        <w:gridCol w:w="1685"/>
      </w:tblGrid>
      <w:tr w:rsidR="00BD157F" w14:paraId="7C182FC7" w14:textId="77777777" w:rsidTr="00BD15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B776" w14:textId="77777777" w:rsidR="00BD157F" w:rsidRDefault="00BD157F" w:rsidP="00C6249A">
            <w:pPr>
              <w:rPr>
                <w:b/>
              </w:rPr>
            </w:pPr>
            <w:r>
              <w:rPr>
                <w:b/>
              </w:rPr>
              <w:t>REVENUE AND SUPPORT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F2B3" w14:textId="247B8477" w:rsidR="00BD157F" w:rsidRPr="00A1031A" w:rsidRDefault="00BD157F" w:rsidP="00C6249A">
            <w:pPr>
              <w:rPr>
                <w:b/>
                <w:bCs/>
              </w:rPr>
            </w:pPr>
            <w:r w:rsidRPr="00A1031A">
              <w:rPr>
                <w:b/>
                <w:bCs/>
              </w:rPr>
              <w:t>Without donor restrictions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31CE" w14:textId="1F1BCCDE" w:rsidR="00BD157F" w:rsidRPr="00A1031A" w:rsidRDefault="00BD157F" w:rsidP="00C6249A">
            <w:pPr>
              <w:rPr>
                <w:b/>
                <w:bCs/>
              </w:rPr>
            </w:pPr>
            <w:r w:rsidRPr="00A1031A">
              <w:rPr>
                <w:b/>
                <w:bCs/>
              </w:rPr>
              <w:t>With donor restrictions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981B" w14:textId="77777777" w:rsidR="00BD157F" w:rsidRPr="00A1031A" w:rsidRDefault="00BD157F" w:rsidP="00C6249A">
            <w:pPr>
              <w:rPr>
                <w:b/>
                <w:bCs/>
              </w:rPr>
            </w:pPr>
            <w:r w:rsidRPr="00A1031A">
              <w:rPr>
                <w:b/>
                <w:bCs/>
              </w:rPr>
              <w:t>Total</w:t>
            </w:r>
          </w:p>
        </w:tc>
      </w:tr>
      <w:tr w:rsidR="00BD157F" w14:paraId="6B2352C7" w14:textId="77777777" w:rsidTr="00BD15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DBAE" w14:textId="77777777" w:rsidR="00BD157F" w:rsidRPr="00A1031A" w:rsidRDefault="00BD157F" w:rsidP="00C6249A">
            <w:pPr>
              <w:rPr>
                <w:b/>
                <w:bCs/>
              </w:rPr>
            </w:pPr>
            <w:r w:rsidRPr="00A1031A">
              <w:rPr>
                <w:b/>
                <w:bCs/>
              </w:rPr>
              <w:t>Gifts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7BC0" w14:textId="77777777" w:rsidR="00BD157F" w:rsidRDefault="00BD157F" w:rsidP="00C6249A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E484" w14:textId="77777777" w:rsidR="00BD157F" w:rsidRDefault="00BD157F" w:rsidP="00C6249A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8F1E" w14:textId="77777777" w:rsidR="00BD157F" w:rsidRDefault="00BD157F" w:rsidP="00C6249A"/>
        </w:tc>
      </w:tr>
      <w:tr w:rsidR="00BD157F" w14:paraId="76A16C17" w14:textId="77777777" w:rsidTr="00BD15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972D" w14:textId="77777777" w:rsidR="00BD157F" w:rsidRDefault="00BD157F" w:rsidP="00C6249A">
            <w:r>
              <w:t xml:space="preserve">   Cash and securities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6EFE" w14:textId="0EEB9F2E" w:rsidR="00BD157F" w:rsidRDefault="00BD157F" w:rsidP="00C6249A">
            <w:r>
              <w:t xml:space="preserve">$   </w:t>
            </w:r>
            <w:r w:rsidR="007F351B">
              <w:t>168,212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43AF" w14:textId="63D7F611" w:rsidR="00BD157F" w:rsidRDefault="00BD157F" w:rsidP="00C6249A">
            <w:r>
              <w:t>$</w:t>
            </w:r>
            <w:r w:rsidR="007F351B">
              <w:t>16,954,382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7043" w14:textId="5FBA8156" w:rsidR="00BD157F" w:rsidRDefault="00BD157F" w:rsidP="00C6249A">
            <w:r>
              <w:t>$</w:t>
            </w:r>
            <w:r w:rsidR="007F351B">
              <w:t>17,122,594</w:t>
            </w:r>
          </w:p>
        </w:tc>
      </w:tr>
      <w:tr w:rsidR="00BD157F" w14:paraId="7C292578" w14:textId="77777777" w:rsidTr="00BD15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9F93" w14:textId="77777777" w:rsidR="00BD157F" w:rsidRDefault="00BD157F" w:rsidP="00C6249A">
            <w:r>
              <w:t xml:space="preserve">   Net change in pledges receivable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57B8" w14:textId="77777777" w:rsidR="000627F9" w:rsidRDefault="000627F9" w:rsidP="00C6249A">
            <w:pPr>
              <w:rPr>
                <w:u w:val="single"/>
              </w:rPr>
            </w:pPr>
          </w:p>
          <w:p w14:paraId="44428F90" w14:textId="7E5FFEB5" w:rsidR="00BD157F" w:rsidRDefault="00BD157F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      -_____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C3E1" w14:textId="77777777" w:rsidR="000627F9" w:rsidRDefault="000627F9" w:rsidP="00C6249A">
            <w:pPr>
              <w:rPr>
                <w:u w:val="single"/>
              </w:rPr>
            </w:pPr>
          </w:p>
          <w:p w14:paraId="7DC11DBA" w14:textId="05211254" w:rsidR="00BD157F" w:rsidRDefault="007F351B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 11,563,822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96D0" w14:textId="77777777" w:rsidR="000627F9" w:rsidRDefault="000627F9" w:rsidP="00C6249A">
            <w:pPr>
              <w:rPr>
                <w:u w:val="single"/>
              </w:rPr>
            </w:pPr>
          </w:p>
          <w:p w14:paraId="749E68D8" w14:textId="110F84C1" w:rsidR="00BD157F" w:rsidRDefault="00BD157F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="007F351B">
              <w:rPr>
                <w:u w:val="single"/>
              </w:rPr>
              <w:t>11,563,822</w:t>
            </w:r>
          </w:p>
        </w:tc>
      </w:tr>
      <w:tr w:rsidR="00BD157F" w14:paraId="005AA6DA" w14:textId="77777777" w:rsidTr="00BD15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684D" w14:textId="77777777" w:rsidR="00BD157F" w:rsidRDefault="00BD157F" w:rsidP="00C6249A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279F" w14:textId="6A2090CD" w:rsidR="00BD157F" w:rsidRDefault="00BD157F" w:rsidP="00C6249A">
            <w:r>
              <w:t xml:space="preserve">     </w:t>
            </w:r>
            <w:r w:rsidR="000627F9">
              <w:t>168,212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594F" w14:textId="3FE4F367" w:rsidR="00BD157F" w:rsidRDefault="00BD157F" w:rsidP="00C6249A">
            <w:r>
              <w:t xml:space="preserve">  </w:t>
            </w:r>
            <w:r w:rsidR="000627F9">
              <w:t>28,518,204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0B50" w14:textId="580188E9" w:rsidR="00BD157F" w:rsidRDefault="00BD157F" w:rsidP="00C6249A">
            <w:r>
              <w:t xml:space="preserve">  </w:t>
            </w:r>
            <w:r w:rsidR="000627F9">
              <w:t>28,686,416</w:t>
            </w:r>
          </w:p>
        </w:tc>
      </w:tr>
      <w:tr w:rsidR="00BD157F" w14:paraId="757B17D6" w14:textId="77777777" w:rsidTr="00BD15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A1CF" w14:textId="77777777" w:rsidR="00BD157F" w:rsidRDefault="00BD157F" w:rsidP="00C6249A">
            <w:r>
              <w:t xml:space="preserve">   Losses on pledges receivable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0326" w14:textId="77777777" w:rsidR="000627F9" w:rsidRDefault="000627F9" w:rsidP="00C6249A">
            <w:pPr>
              <w:rPr>
                <w:u w:val="single"/>
              </w:rPr>
            </w:pPr>
          </w:p>
          <w:p w14:paraId="42AF5548" w14:textId="5433C6E4" w:rsidR="00BD157F" w:rsidRDefault="00BD157F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      -_____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5415" w14:textId="77777777" w:rsidR="000627F9" w:rsidRDefault="000627F9" w:rsidP="00C6249A">
            <w:pPr>
              <w:rPr>
                <w:u w:val="single"/>
              </w:rPr>
            </w:pPr>
          </w:p>
          <w:p w14:paraId="2F13B903" w14:textId="081FBF58" w:rsidR="00BD157F" w:rsidRDefault="00BD157F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(</w:t>
            </w:r>
            <w:r w:rsidR="000627F9">
              <w:rPr>
                <w:u w:val="single"/>
              </w:rPr>
              <w:t>3,121,213</w:t>
            </w:r>
            <w:r>
              <w:rPr>
                <w:u w:val="single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4E7B" w14:textId="77777777" w:rsidR="000627F9" w:rsidRDefault="000627F9" w:rsidP="00C6249A">
            <w:pPr>
              <w:rPr>
                <w:u w:val="single"/>
              </w:rPr>
            </w:pPr>
          </w:p>
          <w:p w14:paraId="22AD82AE" w14:textId="5B1F0F18" w:rsidR="00BD157F" w:rsidRDefault="00BD157F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  (</w:t>
            </w:r>
            <w:r w:rsidR="000627F9">
              <w:rPr>
                <w:u w:val="single"/>
              </w:rPr>
              <w:t>3,121,213</w:t>
            </w:r>
            <w:r>
              <w:rPr>
                <w:u w:val="single"/>
              </w:rPr>
              <w:t>)</w:t>
            </w:r>
          </w:p>
        </w:tc>
      </w:tr>
      <w:tr w:rsidR="00BD157F" w14:paraId="240EB450" w14:textId="77777777" w:rsidTr="00BD15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69A7" w14:textId="77777777" w:rsidR="00BD157F" w:rsidRDefault="00BD157F" w:rsidP="00C6249A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D759" w14:textId="74DCB6D6" w:rsidR="00BD157F" w:rsidRDefault="00BD157F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  <w:r w:rsidR="000627F9">
              <w:rPr>
                <w:u w:val="single"/>
              </w:rPr>
              <w:t>168,212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0D72" w14:textId="6476B915" w:rsidR="00BD157F" w:rsidRDefault="00BD157F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0627F9">
              <w:rPr>
                <w:u w:val="single"/>
              </w:rPr>
              <w:t>25,396,991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A9FB" w14:textId="267E5D81" w:rsidR="00BD157F" w:rsidRDefault="00BD157F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="000627F9">
              <w:rPr>
                <w:u w:val="single"/>
              </w:rPr>
              <w:t xml:space="preserve"> 25,565,203</w:t>
            </w:r>
          </w:p>
        </w:tc>
      </w:tr>
      <w:tr w:rsidR="00BD157F" w14:paraId="7D15D93F" w14:textId="77777777" w:rsidTr="00BD15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2865" w14:textId="77777777" w:rsidR="00BD157F" w:rsidRPr="00A1031A" w:rsidRDefault="00BD157F" w:rsidP="00C6249A">
            <w:pPr>
              <w:rPr>
                <w:b/>
                <w:bCs/>
              </w:rPr>
            </w:pPr>
            <w:r w:rsidRPr="00A1031A">
              <w:rPr>
                <w:b/>
                <w:bCs/>
              </w:rPr>
              <w:t>Net investment income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988A" w14:textId="77777777" w:rsidR="00BD157F" w:rsidRDefault="00BD157F" w:rsidP="00C6249A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7477" w14:textId="77777777" w:rsidR="00BD157F" w:rsidRDefault="00BD157F" w:rsidP="00C6249A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B865" w14:textId="77777777" w:rsidR="00BD157F" w:rsidRDefault="00BD157F" w:rsidP="00C6249A"/>
        </w:tc>
      </w:tr>
      <w:tr w:rsidR="00BD157F" w14:paraId="3B076AA1" w14:textId="77777777" w:rsidTr="00BD15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4EEE" w14:textId="77777777" w:rsidR="00BD157F" w:rsidRDefault="00BD157F" w:rsidP="00C6249A">
            <w:r>
              <w:t xml:space="preserve">   Securities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E2D8" w14:textId="6585F33D" w:rsidR="00BD157F" w:rsidRDefault="000627F9" w:rsidP="00C6249A">
            <w:r>
              <w:t>2,319,845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F3DE" w14:textId="42307986" w:rsidR="00BD157F" w:rsidRDefault="00BD157F" w:rsidP="00C6249A">
            <w:r>
              <w:t xml:space="preserve"> </w:t>
            </w:r>
            <w:r w:rsidR="000627F9">
              <w:t>11,846,571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5E39" w14:textId="0043CBCF" w:rsidR="00BD157F" w:rsidRDefault="00BD157F" w:rsidP="00C6249A">
            <w:r>
              <w:t xml:space="preserve"> </w:t>
            </w:r>
            <w:r w:rsidR="000627F9">
              <w:t>14,166,416</w:t>
            </w:r>
          </w:p>
        </w:tc>
      </w:tr>
      <w:tr w:rsidR="00BD157F" w14:paraId="4A558E1E" w14:textId="77777777" w:rsidTr="00BD15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65A0" w14:textId="77777777" w:rsidR="00BD157F" w:rsidRDefault="00BD157F" w:rsidP="00C6249A">
            <w:r>
              <w:t xml:space="preserve">   Investment pool operator fee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7B5F" w14:textId="7BBB6A8D" w:rsidR="00BD157F" w:rsidRDefault="000627F9" w:rsidP="00C6249A">
            <w:r>
              <w:t xml:space="preserve">          1,773,516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05D1" w14:textId="77777777" w:rsidR="006F13B5" w:rsidRDefault="00BD157F" w:rsidP="00C6249A">
            <w:r>
              <w:t xml:space="preserve">        </w:t>
            </w:r>
          </w:p>
          <w:p w14:paraId="0A145BCE" w14:textId="2D88985D" w:rsidR="00BD157F" w:rsidRDefault="00BD157F" w:rsidP="00C6249A">
            <w:r>
              <w:t xml:space="preserve"> </w:t>
            </w:r>
            <w:r w:rsidR="000627F9">
              <w:t>(1,773,516)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D148" w14:textId="77777777" w:rsidR="000627F9" w:rsidRDefault="00BD157F" w:rsidP="00C6249A">
            <w:r>
              <w:t xml:space="preserve">         </w:t>
            </w:r>
          </w:p>
          <w:p w14:paraId="4A12B278" w14:textId="752B479D" w:rsidR="00BD157F" w:rsidRDefault="000627F9" w:rsidP="00C6249A">
            <w:r>
              <w:t xml:space="preserve">          </w:t>
            </w:r>
            <w:r w:rsidR="00BD157F">
              <w:t>-</w:t>
            </w:r>
          </w:p>
        </w:tc>
      </w:tr>
      <w:tr w:rsidR="006F13B5" w14:paraId="090DA13A" w14:textId="77777777" w:rsidTr="00BD15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30E" w14:textId="54371E37" w:rsidR="006F13B5" w:rsidRDefault="006F13B5" w:rsidP="00C6249A">
            <w:r>
              <w:t xml:space="preserve">   Service fee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A25B" w14:textId="4749E605" w:rsidR="006F13B5" w:rsidRPr="006F13B5" w:rsidRDefault="006F13B5" w:rsidP="00C6249A">
            <w:r>
              <w:t xml:space="preserve">   </w:t>
            </w:r>
            <w:r w:rsidRPr="006F13B5">
              <w:t>604,088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30B0" w14:textId="35A60CD6" w:rsidR="006F13B5" w:rsidRPr="006F13B5" w:rsidRDefault="006F13B5" w:rsidP="00C6249A">
            <w:r w:rsidRPr="006F13B5">
              <w:t xml:space="preserve">           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8930" w14:textId="5122C446" w:rsidR="006F13B5" w:rsidRPr="006F13B5" w:rsidRDefault="006F13B5" w:rsidP="00C6249A">
            <w:r w:rsidRPr="006F13B5">
              <w:t xml:space="preserve">      604,088</w:t>
            </w:r>
          </w:p>
        </w:tc>
      </w:tr>
      <w:tr w:rsidR="00BD157F" w14:paraId="4A44C85C" w14:textId="77777777" w:rsidTr="00BD15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FDA6" w14:textId="77777777" w:rsidR="00BD157F" w:rsidRDefault="00BD157F" w:rsidP="00C6249A">
            <w:r>
              <w:t xml:space="preserve">   Investment in Hotel and Conference Center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0017" w14:textId="77777777" w:rsidR="000627F9" w:rsidRDefault="00BD157F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7EC4A098" w14:textId="6111993F" w:rsidR="00BD157F" w:rsidRDefault="00BD157F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="000627F9">
              <w:rPr>
                <w:u w:val="single"/>
              </w:rPr>
              <w:t>675,309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38D4" w14:textId="77777777" w:rsidR="000627F9" w:rsidRDefault="000627F9" w:rsidP="00C6249A">
            <w:pPr>
              <w:rPr>
                <w:u w:val="single"/>
              </w:rPr>
            </w:pPr>
          </w:p>
          <w:p w14:paraId="56EBE5A4" w14:textId="21DD7C60" w:rsidR="00BD157F" w:rsidRDefault="00BD157F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        -____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0EBD" w14:textId="77777777" w:rsidR="000627F9" w:rsidRDefault="000627F9" w:rsidP="00C6249A">
            <w:pPr>
              <w:rPr>
                <w:u w:val="single"/>
              </w:rPr>
            </w:pPr>
          </w:p>
          <w:p w14:paraId="32D5AC6E" w14:textId="75566DDE" w:rsidR="00BD157F" w:rsidRDefault="00BD157F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     </w:t>
            </w:r>
            <w:r w:rsidR="000627F9">
              <w:rPr>
                <w:u w:val="single"/>
              </w:rPr>
              <w:t>675,309</w:t>
            </w:r>
          </w:p>
        </w:tc>
      </w:tr>
      <w:tr w:rsidR="00BD157F" w14:paraId="1E4F61AD" w14:textId="77777777" w:rsidTr="00BD15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4770" w14:textId="77777777" w:rsidR="00BD157F" w:rsidRDefault="00BD157F" w:rsidP="00C6249A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819C" w14:textId="0FEF6186" w:rsidR="00BD157F" w:rsidRDefault="00BD157F" w:rsidP="00C6249A">
            <w:pPr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>5,</w:t>
            </w:r>
            <w:r w:rsidR="000627F9">
              <w:rPr>
                <w:u w:val="single"/>
              </w:rPr>
              <w:t>372,758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1192" w14:textId="550B3783" w:rsidR="00BD157F" w:rsidRDefault="000627F9" w:rsidP="00C6249A">
            <w:pPr>
              <w:rPr>
                <w:u w:val="single"/>
              </w:rPr>
            </w:pPr>
            <w:r>
              <w:rPr>
                <w:u w:val="single"/>
              </w:rPr>
              <w:t>10,073,055</w:t>
            </w:r>
            <w:r w:rsidR="00BD157F">
              <w:rPr>
                <w:u w:val="single"/>
              </w:rPr>
              <w:t>____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CDA8" w14:textId="341E9D8D" w:rsidR="00BD157F" w:rsidRDefault="00BD157F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0627F9">
              <w:rPr>
                <w:u w:val="single"/>
              </w:rPr>
              <w:t>15,445,813</w:t>
            </w:r>
          </w:p>
        </w:tc>
      </w:tr>
      <w:tr w:rsidR="00BD157F" w14:paraId="08F2A0AC" w14:textId="77777777" w:rsidTr="00BD15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F3CD" w14:textId="77777777" w:rsidR="00BD157F" w:rsidRDefault="00BD157F" w:rsidP="00C6249A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E406" w14:textId="77777777" w:rsidR="00BD157F" w:rsidRDefault="00BD157F" w:rsidP="00C6249A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6320" w14:textId="77777777" w:rsidR="00BD157F" w:rsidRDefault="00BD157F" w:rsidP="00C6249A">
            <w:pPr>
              <w:rPr>
                <w:u w:val="single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A707" w14:textId="77777777" w:rsidR="00BD157F" w:rsidRDefault="00BD157F" w:rsidP="00C6249A">
            <w:pPr>
              <w:rPr>
                <w:u w:val="single"/>
              </w:rPr>
            </w:pPr>
          </w:p>
        </w:tc>
      </w:tr>
      <w:tr w:rsidR="00BD157F" w14:paraId="5615FA53" w14:textId="77777777" w:rsidTr="00BD15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93E4" w14:textId="77777777" w:rsidR="00BD157F" w:rsidRDefault="00BD157F" w:rsidP="00C6249A">
            <w:r>
              <w:t>Sales, services, events and other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6E84" w14:textId="1DDEFFC0" w:rsidR="00BD157F" w:rsidRDefault="00BD157F" w:rsidP="00C6249A">
            <w:r>
              <w:t xml:space="preserve">      </w:t>
            </w:r>
            <w:r w:rsidR="000627F9">
              <w:t>14,000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0CFB" w14:textId="3721DF1D" w:rsidR="00BD157F" w:rsidRDefault="000627F9" w:rsidP="00C6249A">
            <w:r>
              <w:t xml:space="preserve">       51,400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D5A6" w14:textId="7F49DB61" w:rsidR="00BD157F" w:rsidRDefault="00BD157F" w:rsidP="00C6249A">
            <w:r>
              <w:t xml:space="preserve">        </w:t>
            </w:r>
            <w:r w:rsidR="000627F9">
              <w:t>65,400</w:t>
            </w:r>
          </w:p>
        </w:tc>
      </w:tr>
      <w:tr w:rsidR="00BD157F" w14:paraId="0AC1FB36" w14:textId="77777777" w:rsidTr="00BD15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24C3" w14:textId="77777777" w:rsidR="00BD157F" w:rsidRDefault="00BD157F" w:rsidP="00C6249A">
            <w:r>
              <w:t>Changes in designation of prior contributions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01D1" w14:textId="1C06836B" w:rsidR="00BD157F" w:rsidRDefault="00BD157F" w:rsidP="00C6249A">
            <w:r>
              <w:t xml:space="preserve">    (</w:t>
            </w:r>
            <w:r w:rsidR="000627F9">
              <w:t>199,950</w:t>
            </w:r>
            <w:r>
              <w:t>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DF48" w14:textId="16B7CFF4" w:rsidR="00BD157F" w:rsidRDefault="00BD157F" w:rsidP="00C6249A">
            <w:r>
              <w:t xml:space="preserve">  </w:t>
            </w:r>
            <w:r w:rsidR="000627F9">
              <w:t xml:space="preserve">    199,950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C93D" w14:textId="350377C6" w:rsidR="00BD157F" w:rsidRDefault="00BD157F" w:rsidP="00C6249A">
            <w:r>
              <w:t xml:space="preserve">          </w:t>
            </w:r>
            <w:r w:rsidR="006F13B5">
              <w:t>(0)</w:t>
            </w:r>
          </w:p>
        </w:tc>
      </w:tr>
      <w:tr w:rsidR="00BD157F" w14:paraId="69C7432E" w14:textId="77777777" w:rsidTr="00BD15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F61F" w14:textId="77777777" w:rsidR="00BD157F" w:rsidRDefault="00BD157F" w:rsidP="00C6249A">
            <w:r>
              <w:t>Change in actuarial liabilities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E33E" w14:textId="77777777" w:rsidR="00BD157F" w:rsidRDefault="00BD157F" w:rsidP="00C6249A">
            <w:r>
              <w:t xml:space="preserve">         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4353" w14:textId="4CE6B7D3" w:rsidR="00BD157F" w:rsidRDefault="00BD157F" w:rsidP="00C6249A">
            <w:r>
              <w:t xml:space="preserve">     </w:t>
            </w:r>
            <w:r w:rsidR="000627F9">
              <w:t>318,024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8DBB" w14:textId="6F8EEC81" w:rsidR="00BD157F" w:rsidRDefault="00BD157F" w:rsidP="00C6249A">
            <w:r>
              <w:t xml:space="preserve">      </w:t>
            </w:r>
            <w:r w:rsidR="000627F9">
              <w:t>318,024</w:t>
            </w:r>
          </w:p>
        </w:tc>
      </w:tr>
      <w:tr w:rsidR="00BD157F" w14:paraId="538A6DE9" w14:textId="77777777" w:rsidTr="00BD15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2C7B" w14:textId="77777777" w:rsidR="00BD157F" w:rsidRDefault="00BD157F" w:rsidP="00C6249A">
            <w:r>
              <w:t>Release of restrictions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CF56" w14:textId="77777777" w:rsidR="000627F9" w:rsidRDefault="000627F9" w:rsidP="00C6249A">
            <w:pPr>
              <w:rPr>
                <w:u w:val="single"/>
              </w:rPr>
            </w:pPr>
          </w:p>
          <w:p w14:paraId="09DC2C53" w14:textId="7F261934" w:rsidR="00BD157F" w:rsidRDefault="000627F9" w:rsidP="00C6249A">
            <w:pPr>
              <w:rPr>
                <w:u w:val="single"/>
              </w:rPr>
            </w:pPr>
            <w:r>
              <w:rPr>
                <w:u w:val="single"/>
              </w:rPr>
              <w:t>13,868,527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AD66" w14:textId="2B6CADC0" w:rsidR="00BD157F" w:rsidRDefault="00BD157F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0627F9">
              <w:rPr>
                <w:u w:val="single"/>
              </w:rPr>
              <w:t>(13,868,527)</w:t>
            </w:r>
            <w:r>
              <w:rPr>
                <w:u w:val="single"/>
              </w:rPr>
              <w:t>____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4F8D" w14:textId="77777777" w:rsidR="000627F9" w:rsidRDefault="000627F9" w:rsidP="00C6249A">
            <w:pPr>
              <w:rPr>
                <w:u w:val="single"/>
              </w:rPr>
            </w:pPr>
          </w:p>
          <w:p w14:paraId="362C10BA" w14:textId="6F460E09" w:rsidR="00BD157F" w:rsidRDefault="00BD157F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        -____</w:t>
            </w:r>
          </w:p>
        </w:tc>
      </w:tr>
      <w:tr w:rsidR="00BD157F" w14:paraId="2005C912" w14:textId="77777777" w:rsidTr="00BD15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6248" w14:textId="77777777" w:rsidR="00BD157F" w:rsidRDefault="00BD157F" w:rsidP="00C6249A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2771" w14:textId="06DB0008" w:rsidR="00BD157F" w:rsidRDefault="000627F9" w:rsidP="00C6249A">
            <w:pPr>
              <w:rPr>
                <w:u w:val="single"/>
              </w:rPr>
            </w:pPr>
            <w:r>
              <w:rPr>
                <w:u w:val="single"/>
              </w:rPr>
              <w:t>19,223,547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0780" w14:textId="0154E9B8" w:rsidR="00BD157F" w:rsidRDefault="00BD157F" w:rsidP="00C6249A">
            <w:pPr>
              <w:rPr>
                <w:u w:val="single"/>
              </w:rPr>
            </w:pPr>
            <w:r>
              <w:t xml:space="preserve"> </w:t>
            </w:r>
            <w:r w:rsidR="000627F9">
              <w:rPr>
                <w:u w:val="single"/>
              </w:rPr>
              <w:t>22,170,893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98B3" w14:textId="439DAB00" w:rsidR="00BD157F" w:rsidRDefault="00C04A8A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0627F9">
              <w:rPr>
                <w:u w:val="single"/>
              </w:rPr>
              <w:t>41,394,440</w:t>
            </w:r>
          </w:p>
        </w:tc>
      </w:tr>
      <w:tr w:rsidR="00BD157F" w14:paraId="069E48A0" w14:textId="77777777" w:rsidTr="00BD15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7A4E" w14:textId="77777777" w:rsidR="00BD157F" w:rsidRDefault="00BD157F" w:rsidP="00C6249A">
            <w:pPr>
              <w:rPr>
                <w:b/>
              </w:rPr>
            </w:pPr>
            <w:r>
              <w:rPr>
                <w:b/>
              </w:rPr>
              <w:t xml:space="preserve">EXPENSES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AFBF" w14:textId="77777777" w:rsidR="00BD157F" w:rsidRDefault="00BD157F" w:rsidP="00C6249A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5C0A" w14:textId="77777777" w:rsidR="00BD157F" w:rsidRDefault="00BD157F" w:rsidP="00C6249A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E83D" w14:textId="77777777" w:rsidR="00BD157F" w:rsidRDefault="00BD157F" w:rsidP="00C6249A"/>
        </w:tc>
      </w:tr>
      <w:tr w:rsidR="00BD157F" w14:paraId="3B3531EF" w14:textId="77777777" w:rsidTr="00BD15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DB26" w14:textId="77777777" w:rsidR="00BD157F" w:rsidRDefault="00BD157F" w:rsidP="00C6249A">
            <w:r>
              <w:t>Grants for Kent State University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FD0C" w14:textId="7D7111F1" w:rsidR="00BD157F" w:rsidRDefault="00C04A8A" w:rsidP="00C6249A">
            <w:r>
              <w:t>15,836,771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F21D" w14:textId="77777777" w:rsidR="00BD157F" w:rsidRDefault="00BD157F" w:rsidP="00C6249A">
            <w:r>
              <w:t xml:space="preserve">        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24D8" w14:textId="4C160DFF" w:rsidR="00BD157F" w:rsidRDefault="00C04A8A" w:rsidP="00C6249A">
            <w:r>
              <w:t>15,836,771</w:t>
            </w:r>
          </w:p>
        </w:tc>
      </w:tr>
      <w:tr w:rsidR="00BD157F" w14:paraId="4F3300BC" w14:textId="77777777" w:rsidTr="00BD15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71E6" w14:textId="77777777" w:rsidR="00BD157F" w:rsidRDefault="00BD157F" w:rsidP="00C6249A">
            <w:r>
              <w:t>Administration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3064" w14:textId="6EE1E91F" w:rsidR="00BD157F" w:rsidRDefault="00BD157F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="00C04A8A">
              <w:rPr>
                <w:u w:val="single"/>
              </w:rPr>
              <w:t>1,108,479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594D" w14:textId="77777777" w:rsidR="00BD157F" w:rsidRDefault="00BD157F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       -____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BB66" w14:textId="74040DEA" w:rsidR="00BD157F" w:rsidRDefault="00BD157F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 1,</w:t>
            </w:r>
            <w:r w:rsidR="00C04A8A">
              <w:rPr>
                <w:u w:val="single"/>
              </w:rPr>
              <w:t>108,479</w:t>
            </w:r>
          </w:p>
        </w:tc>
      </w:tr>
      <w:tr w:rsidR="00BD157F" w14:paraId="14C2F43E" w14:textId="77777777" w:rsidTr="00BD15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0D7A" w14:textId="77777777" w:rsidR="00BD157F" w:rsidRDefault="00BD157F" w:rsidP="00C6249A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F1B6" w14:textId="047B45E6" w:rsidR="00BD157F" w:rsidRDefault="00C04A8A" w:rsidP="00C6249A">
            <w:pPr>
              <w:rPr>
                <w:u w:val="single"/>
              </w:rPr>
            </w:pPr>
            <w:r>
              <w:rPr>
                <w:u w:val="single"/>
              </w:rPr>
              <w:t>16,945,250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6628" w14:textId="77777777" w:rsidR="00BD157F" w:rsidRDefault="00BD157F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       -____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D86F" w14:textId="6BBCFFAD" w:rsidR="00BD157F" w:rsidRDefault="00C04A8A" w:rsidP="00C6249A">
            <w:pPr>
              <w:rPr>
                <w:u w:val="single"/>
              </w:rPr>
            </w:pPr>
            <w:r>
              <w:rPr>
                <w:u w:val="single"/>
              </w:rPr>
              <w:t>16,945,250</w:t>
            </w:r>
          </w:p>
        </w:tc>
      </w:tr>
      <w:tr w:rsidR="00BD157F" w14:paraId="546C2A64" w14:textId="77777777" w:rsidTr="00BD15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A0CE" w14:textId="77777777" w:rsidR="00BD157F" w:rsidRDefault="00BD157F" w:rsidP="00C6249A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ADBD" w14:textId="77777777" w:rsidR="00BD157F" w:rsidRDefault="00BD157F" w:rsidP="00C6249A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626F" w14:textId="77777777" w:rsidR="00BD157F" w:rsidRDefault="00BD157F" w:rsidP="00C6249A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FAAB" w14:textId="77777777" w:rsidR="00BD157F" w:rsidRDefault="00BD157F" w:rsidP="00C6249A"/>
        </w:tc>
      </w:tr>
      <w:tr w:rsidR="00BD157F" w14:paraId="029EEDF2" w14:textId="77777777" w:rsidTr="00BD15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27FA" w14:textId="04036E73" w:rsidR="00BD157F" w:rsidRPr="00A1031A" w:rsidRDefault="00A1031A" w:rsidP="00C6249A">
            <w:pPr>
              <w:rPr>
                <w:b/>
              </w:rPr>
            </w:pPr>
            <w:r w:rsidRPr="00A1031A">
              <w:rPr>
                <w:b/>
              </w:rPr>
              <w:t>CHANGE IN NET ASSETS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8002" w14:textId="7A4E1172" w:rsidR="00BD157F" w:rsidRDefault="00BD157F" w:rsidP="00C6249A">
            <w:r>
              <w:t xml:space="preserve">  </w:t>
            </w:r>
            <w:r w:rsidR="00D5342C">
              <w:t>2,278,297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673A" w14:textId="0605B3D3" w:rsidR="00BD157F" w:rsidRDefault="00BD157F" w:rsidP="00C6249A">
            <w:r>
              <w:t xml:space="preserve">  </w:t>
            </w:r>
            <w:r w:rsidR="00D5342C">
              <w:t>22,170,893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D9BC" w14:textId="29531389" w:rsidR="00BD157F" w:rsidRDefault="00BD157F" w:rsidP="00C6249A">
            <w:r>
              <w:t xml:space="preserve">   </w:t>
            </w:r>
            <w:r w:rsidR="00D5342C">
              <w:t>24,449,190</w:t>
            </w:r>
          </w:p>
        </w:tc>
      </w:tr>
      <w:tr w:rsidR="00BD157F" w14:paraId="6F3AF9A4" w14:textId="77777777" w:rsidTr="00BD15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1F14" w14:textId="260D2F29" w:rsidR="00BD157F" w:rsidRPr="00A1031A" w:rsidRDefault="00A1031A" w:rsidP="00C6249A">
            <w:pPr>
              <w:rPr>
                <w:b/>
              </w:rPr>
            </w:pPr>
            <w:r w:rsidRPr="00A1031A">
              <w:rPr>
                <w:b/>
              </w:rPr>
              <w:t>NET ASSETS AT BEGINNING OF YEAR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04A7" w14:textId="58C94227" w:rsidR="00BD157F" w:rsidRDefault="00BD157F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="00D5342C">
              <w:rPr>
                <w:u w:val="single"/>
              </w:rPr>
              <w:t>13,668,183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8D97" w14:textId="6ABB254B" w:rsidR="00BD157F" w:rsidRDefault="00D5342C" w:rsidP="00C6249A">
            <w:pPr>
              <w:rPr>
                <w:u w:val="single"/>
              </w:rPr>
            </w:pPr>
            <w:r>
              <w:rPr>
                <w:u w:val="single"/>
              </w:rPr>
              <w:t>176,094,433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CD19" w14:textId="7B271B7C" w:rsidR="00BD157F" w:rsidRDefault="00BD157F" w:rsidP="00C6249A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D5342C">
              <w:rPr>
                <w:u w:val="single"/>
              </w:rPr>
              <w:t>189,762,616</w:t>
            </w:r>
          </w:p>
        </w:tc>
      </w:tr>
      <w:tr w:rsidR="00BD157F" w14:paraId="2DC204FD" w14:textId="77777777" w:rsidTr="00BD15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064F" w14:textId="6C07768D" w:rsidR="00BD157F" w:rsidRPr="00A1031A" w:rsidRDefault="00A1031A" w:rsidP="00C6249A">
            <w:pPr>
              <w:rPr>
                <w:b/>
              </w:rPr>
            </w:pPr>
            <w:r w:rsidRPr="00A1031A">
              <w:rPr>
                <w:b/>
              </w:rPr>
              <w:t>NET ASSETS AT END OF YEAR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D6BF" w14:textId="3DDA0840" w:rsidR="00BD157F" w:rsidRDefault="00BD157F" w:rsidP="00C6249A">
            <w:pPr>
              <w:rPr>
                <w:u w:val="double"/>
              </w:rPr>
            </w:pPr>
            <w:r>
              <w:rPr>
                <w:u w:val="double"/>
              </w:rPr>
              <w:t>$</w:t>
            </w:r>
            <w:r w:rsidR="00D5342C">
              <w:rPr>
                <w:u w:val="double"/>
              </w:rPr>
              <w:t>15,946,480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249A" w14:textId="5596A636" w:rsidR="00BD157F" w:rsidRDefault="00BD157F" w:rsidP="00C6249A">
            <w:pPr>
              <w:rPr>
                <w:u w:val="double"/>
              </w:rPr>
            </w:pPr>
            <w:r>
              <w:rPr>
                <w:u w:val="double"/>
              </w:rPr>
              <w:t>$</w:t>
            </w:r>
            <w:r w:rsidR="00D5342C">
              <w:rPr>
                <w:u w:val="double"/>
              </w:rPr>
              <w:t>198,265,326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CF35" w14:textId="382D55FF" w:rsidR="00BD157F" w:rsidRDefault="00BD157F" w:rsidP="00C6249A">
            <w:pPr>
              <w:rPr>
                <w:u w:val="double"/>
              </w:rPr>
            </w:pPr>
            <w:r>
              <w:rPr>
                <w:u w:val="double"/>
              </w:rPr>
              <w:t>$</w:t>
            </w:r>
            <w:r w:rsidR="00D5342C">
              <w:rPr>
                <w:u w:val="double"/>
              </w:rPr>
              <w:t>214,211,806</w:t>
            </w:r>
          </w:p>
        </w:tc>
      </w:tr>
    </w:tbl>
    <w:p w14:paraId="7A3F6376" w14:textId="77777777" w:rsidR="00D45488" w:rsidRDefault="00D45488" w:rsidP="00D45488">
      <w:pPr>
        <w:rPr>
          <w:rFonts w:ascii="Arial" w:hAnsi="Arial" w:cs="Arial"/>
          <w:b/>
          <w:sz w:val="24"/>
          <w:szCs w:val="24"/>
        </w:rPr>
      </w:pPr>
      <w:bookmarkStart w:id="5" w:name="_GoBack"/>
      <w:bookmarkEnd w:id="5"/>
      <w:r>
        <w:rPr>
          <w:rFonts w:ascii="Arial" w:hAnsi="Arial" w:cs="Arial"/>
          <w:b/>
          <w:sz w:val="24"/>
          <w:szCs w:val="24"/>
        </w:rPr>
        <w:lastRenderedPageBreak/>
        <w:t>MAKE AN IMPACT TODAY</w:t>
      </w:r>
    </w:p>
    <w:p w14:paraId="6CD794FC" w14:textId="77777777" w:rsidR="00D45488" w:rsidRDefault="00D45488" w:rsidP="00D45488">
      <w:pPr>
        <w:rPr>
          <w:rFonts w:ascii="Arial" w:hAnsi="Arial" w:cs="Arial"/>
          <w:b/>
          <w:sz w:val="24"/>
          <w:szCs w:val="24"/>
        </w:rPr>
      </w:pPr>
    </w:p>
    <w:p w14:paraId="257B6FC6" w14:textId="77777777" w:rsidR="00D45488" w:rsidRDefault="00D45488" w:rsidP="00D45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legacy and help us build a meaningful future for our students and our university.</w:t>
      </w:r>
    </w:p>
    <w:p w14:paraId="0B7BCBE2" w14:textId="77777777" w:rsidR="00D45488" w:rsidRDefault="00D45488" w:rsidP="00D45488">
      <w:pPr>
        <w:rPr>
          <w:rFonts w:ascii="Arial" w:hAnsi="Arial" w:cs="Arial"/>
          <w:sz w:val="24"/>
          <w:szCs w:val="24"/>
        </w:rPr>
      </w:pPr>
    </w:p>
    <w:p w14:paraId="2749657C" w14:textId="77777777" w:rsidR="00D45488" w:rsidRPr="00D04AA9" w:rsidRDefault="00D45488" w:rsidP="00D45488">
      <w:pPr>
        <w:rPr>
          <w:rFonts w:ascii="Arial" w:hAnsi="Arial" w:cs="Arial"/>
          <w:b/>
          <w:bCs/>
          <w:sz w:val="24"/>
          <w:szCs w:val="24"/>
        </w:rPr>
      </w:pPr>
      <w:r w:rsidRPr="00D04AA9">
        <w:rPr>
          <w:rFonts w:ascii="Arial" w:hAnsi="Arial" w:cs="Arial"/>
          <w:b/>
          <w:bCs/>
          <w:sz w:val="24"/>
          <w:szCs w:val="24"/>
        </w:rPr>
        <w:t>Thank you for your continuing support!</w:t>
      </w:r>
    </w:p>
    <w:p w14:paraId="45C70B5B" w14:textId="77777777" w:rsidR="00D45488" w:rsidRDefault="00D45488" w:rsidP="00D45488">
      <w:pPr>
        <w:rPr>
          <w:rFonts w:ascii="Arial" w:hAnsi="Arial" w:cs="Arial"/>
          <w:sz w:val="24"/>
          <w:szCs w:val="24"/>
        </w:rPr>
      </w:pPr>
    </w:p>
    <w:p w14:paraId="2CBF355E" w14:textId="3B8F755B" w:rsidR="00D45488" w:rsidRDefault="00D45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Donate now </w:t>
      </w:r>
      <w:r w:rsidR="00DC0385">
        <w:rPr>
          <w:rFonts w:ascii="Arial" w:hAnsi="Arial" w:cs="Arial"/>
          <w:sz w:val="24"/>
          <w:szCs w:val="24"/>
        </w:rPr>
        <w:t xml:space="preserve">at </w:t>
      </w:r>
      <w:hyperlink r:id="rId5" w:history="1">
        <w:r w:rsidR="00DC0385" w:rsidRPr="00C664A8">
          <w:rPr>
            <w:rStyle w:val="Hyperlink"/>
            <w:rFonts w:ascii="Arial" w:hAnsi="Arial" w:cs="Arial"/>
            <w:sz w:val="24"/>
            <w:szCs w:val="24"/>
          </w:rPr>
          <w:t>www.givetokent.org</w:t>
        </w:r>
      </w:hyperlink>
      <w:r w:rsidR="00DC0385">
        <w:rPr>
          <w:rFonts w:ascii="Arial" w:hAnsi="Arial" w:cs="Arial"/>
          <w:sz w:val="24"/>
          <w:szCs w:val="24"/>
        </w:rPr>
        <w:t>.</w:t>
      </w:r>
    </w:p>
    <w:p w14:paraId="60D9C77A" w14:textId="77777777" w:rsidR="00DC0385" w:rsidRDefault="00DC0385">
      <w:pPr>
        <w:rPr>
          <w:rFonts w:ascii="Arial" w:hAnsi="Arial" w:cs="Arial"/>
          <w:sz w:val="24"/>
          <w:szCs w:val="24"/>
        </w:rPr>
      </w:pPr>
    </w:p>
    <w:p w14:paraId="39AA7147" w14:textId="77777777" w:rsidR="00DC0385" w:rsidRPr="00A24AC1" w:rsidRDefault="00DC0385">
      <w:pPr>
        <w:rPr>
          <w:rFonts w:ascii="Arial" w:hAnsi="Arial" w:cs="Arial"/>
          <w:sz w:val="24"/>
          <w:szCs w:val="24"/>
        </w:rPr>
      </w:pPr>
    </w:p>
    <w:sectPr w:rsidR="00DC0385" w:rsidRPr="00A24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A0D9A"/>
    <w:multiLevelType w:val="multilevel"/>
    <w:tmpl w:val="0040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A0393C"/>
    <w:multiLevelType w:val="hybridMultilevel"/>
    <w:tmpl w:val="A5DA3EAA"/>
    <w:lvl w:ilvl="0" w:tplc="7578F0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A0"/>
    <w:rsid w:val="000627F9"/>
    <w:rsid w:val="000C61AA"/>
    <w:rsid w:val="000E0500"/>
    <w:rsid w:val="000E0F53"/>
    <w:rsid w:val="001544AB"/>
    <w:rsid w:val="001755C7"/>
    <w:rsid w:val="00193D90"/>
    <w:rsid w:val="001B0DE2"/>
    <w:rsid w:val="001B78A3"/>
    <w:rsid w:val="001C4F07"/>
    <w:rsid w:val="00230431"/>
    <w:rsid w:val="00231F50"/>
    <w:rsid w:val="0023206E"/>
    <w:rsid w:val="00240A55"/>
    <w:rsid w:val="00253937"/>
    <w:rsid w:val="00274FA0"/>
    <w:rsid w:val="002866CF"/>
    <w:rsid w:val="002D5612"/>
    <w:rsid w:val="00303F8F"/>
    <w:rsid w:val="00311486"/>
    <w:rsid w:val="0032564C"/>
    <w:rsid w:val="00334E1B"/>
    <w:rsid w:val="00350634"/>
    <w:rsid w:val="00387360"/>
    <w:rsid w:val="00394C81"/>
    <w:rsid w:val="003C4927"/>
    <w:rsid w:val="003D657D"/>
    <w:rsid w:val="004A7619"/>
    <w:rsid w:val="004D01A0"/>
    <w:rsid w:val="00534330"/>
    <w:rsid w:val="00537126"/>
    <w:rsid w:val="00592117"/>
    <w:rsid w:val="005B5CAD"/>
    <w:rsid w:val="005E12E3"/>
    <w:rsid w:val="0062220C"/>
    <w:rsid w:val="006D085F"/>
    <w:rsid w:val="006F13B5"/>
    <w:rsid w:val="006F1FBA"/>
    <w:rsid w:val="00754F13"/>
    <w:rsid w:val="007F351B"/>
    <w:rsid w:val="00803492"/>
    <w:rsid w:val="0082199D"/>
    <w:rsid w:val="008561EF"/>
    <w:rsid w:val="00865BBA"/>
    <w:rsid w:val="008F5C28"/>
    <w:rsid w:val="00954707"/>
    <w:rsid w:val="009633FE"/>
    <w:rsid w:val="0099162C"/>
    <w:rsid w:val="00995B5B"/>
    <w:rsid w:val="009E1330"/>
    <w:rsid w:val="00A1031A"/>
    <w:rsid w:val="00A24AC1"/>
    <w:rsid w:val="00A24F47"/>
    <w:rsid w:val="00A332A3"/>
    <w:rsid w:val="00A7248A"/>
    <w:rsid w:val="00AD7684"/>
    <w:rsid w:val="00B346AF"/>
    <w:rsid w:val="00B37666"/>
    <w:rsid w:val="00B45066"/>
    <w:rsid w:val="00B649DD"/>
    <w:rsid w:val="00B750C1"/>
    <w:rsid w:val="00B756F7"/>
    <w:rsid w:val="00BB2259"/>
    <w:rsid w:val="00BD157F"/>
    <w:rsid w:val="00BD2B57"/>
    <w:rsid w:val="00BF441C"/>
    <w:rsid w:val="00C04551"/>
    <w:rsid w:val="00C04A8A"/>
    <w:rsid w:val="00C56F55"/>
    <w:rsid w:val="00C6249A"/>
    <w:rsid w:val="00C66FF4"/>
    <w:rsid w:val="00C717F9"/>
    <w:rsid w:val="00C75CD9"/>
    <w:rsid w:val="00CC46B1"/>
    <w:rsid w:val="00D04AA9"/>
    <w:rsid w:val="00D307CE"/>
    <w:rsid w:val="00D45488"/>
    <w:rsid w:val="00D5342C"/>
    <w:rsid w:val="00DA05D1"/>
    <w:rsid w:val="00DC0385"/>
    <w:rsid w:val="00E121C7"/>
    <w:rsid w:val="00E2105D"/>
    <w:rsid w:val="00E4764E"/>
    <w:rsid w:val="00E51874"/>
    <w:rsid w:val="00E8155D"/>
    <w:rsid w:val="00EA4301"/>
    <w:rsid w:val="00ED091A"/>
    <w:rsid w:val="00ED13CB"/>
    <w:rsid w:val="00FC02E9"/>
    <w:rsid w:val="00FC5EE6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9633"/>
  <w15:chartTrackingRefBased/>
  <w15:docId w15:val="{503BD61E-6BCF-4794-BB09-8910D65B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FA0"/>
    <w:pPr>
      <w:ind w:left="720"/>
      <w:contextualSpacing/>
    </w:pPr>
  </w:style>
  <w:style w:type="table" w:styleId="TableGrid">
    <w:name w:val="Table Grid"/>
    <w:basedOn w:val="TableNormal"/>
    <w:uiPriority w:val="39"/>
    <w:rsid w:val="00D45488"/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03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vetoke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11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McGuinness, Deborah</dc:creator>
  <cp:keywords/>
  <dc:description/>
  <cp:lastModifiedBy>Langguth, Stephanie</cp:lastModifiedBy>
  <cp:revision>80</cp:revision>
  <dcterms:created xsi:type="dcterms:W3CDTF">2019-10-08T10:49:00Z</dcterms:created>
  <dcterms:modified xsi:type="dcterms:W3CDTF">2019-12-03T14:53:00Z</dcterms:modified>
</cp:coreProperties>
</file>